
<file path=[Content_Types].xml><?xml version="1.0" encoding="utf-8"?>
<Types xmlns="http://schemas.openxmlformats.org/package/2006/content-types">
  <Default Extension="xml" ContentType="application/xml"/>
  <Default Extension="png" ContentType="image/png"/>
  <Default Extension="jpeg" ContentType="image/jpeg"/>
  <Default Extension="bmp" ContentType="image/bmp"/>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6FEEB">
    <v:background id="_x0000_s1025">
      <v:fill type="pattern" on="t" color2="#FFFFFF" focussize="0,0" r:id="rId7"/>
    </v:background>
  </w:background>
  <w:body>
    <w:p>
      <w:pPr>
        <w:ind w:firstLine="0"/>
        <w:outlineLvl w:val="9"/>
        <w:rPr>
          <w:b/>
          <w:bCs/>
        </w:rPr>
      </w:pPr>
      <w:bookmarkStart w:id="41" w:name="_GoBack"/>
      <w:r>
        <w:rPr>
          <w:b/>
          <w:bCs/>
        </w:rPr>
        <w:drawing>
          <wp:anchor distT="0" distB="0" distL="114300" distR="114300" simplePos="0" relativeHeight="251699200" behindDoc="0" locked="0" layoutInCell="1" allowOverlap="1">
            <wp:simplePos x="0" y="0"/>
            <wp:positionH relativeFrom="column">
              <wp:posOffset>-1217295</wp:posOffset>
            </wp:positionH>
            <wp:positionV relativeFrom="paragraph">
              <wp:posOffset>-885825</wp:posOffset>
            </wp:positionV>
            <wp:extent cx="7689850" cy="10666095"/>
            <wp:effectExtent l="19050" t="0" r="6350" b="0"/>
            <wp:wrapSquare wrapText="bothSides"/>
            <wp:docPr id="9" name="图片 3" descr="C:\Users\Administrator\Documents\Tencent Files\1585884483\FileRecv\封面副本(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descr="C:\Users\Administrator\Documents\Tencent Files\1585884483\FileRecv\封面副本(1).jpg"/>
                    <pic:cNvPicPr>
                      <a:picLocks noChangeAspect="1" noChangeArrowheads="1"/>
                    </pic:cNvPicPr>
                  </pic:nvPicPr>
                  <pic:blipFill>
                    <a:blip r:embed="rId8" cstate="print"/>
                    <a:srcRect/>
                    <a:stretch>
                      <a:fillRect/>
                    </a:stretch>
                  </pic:blipFill>
                  <pic:spPr>
                    <a:xfrm>
                      <a:off x="0" y="0"/>
                      <a:ext cx="7689850" cy="10666095"/>
                    </a:xfrm>
                    <a:prstGeom prst="rect">
                      <a:avLst/>
                    </a:prstGeom>
                    <a:noFill/>
                    <a:ln w="9525">
                      <a:noFill/>
                      <a:miter lim="800000"/>
                      <a:headEnd/>
                      <a:tailEnd/>
                    </a:ln>
                  </pic:spPr>
                </pic:pic>
              </a:graphicData>
            </a:graphic>
          </wp:anchor>
        </w:drawing>
      </w:r>
      <w:bookmarkEnd w:id="41"/>
    </w:p>
    <w:p>
      <w:pPr>
        <w:pStyle w:val="21"/>
        <w:ind w:left="120" w:firstLine="2249" w:firstLineChars="700"/>
        <w:jc w:val="both"/>
        <w:outlineLvl w:val="9"/>
        <w:rPr>
          <w:rFonts w:hint="eastAsia"/>
        </w:rPr>
      </w:pPr>
    </w:p>
    <w:p>
      <w:pPr>
        <w:rPr>
          <w:rFonts w:hint="eastAsia"/>
        </w:rPr>
      </w:pPr>
    </w:p>
    <w:p>
      <w:pPr>
        <w:tabs>
          <w:tab w:val="left" w:pos="3435"/>
        </w:tabs>
        <w:spacing w:line="380" w:lineRule="exact"/>
        <w:ind w:firstLine="0"/>
        <w:rPr>
          <w:rFonts w:ascii="宋体" w:hAnsi="宋体" w:eastAsia="宋体" w:cs="Times New Roman"/>
          <w:color w:val="000000"/>
          <w:kern w:val="2"/>
          <w:sz w:val="21"/>
          <w:szCs w:val="21"/>
          <w:lang w:val="en-US" w:eastAsia="zh-CN" w:bidi="ar-SA"/>
        </w:rPr>
      </w:pPr>
      <w:r>
        <w:rPr>
          <w:b w:val="0"/>
          <w:bCs w:val="0"/>
          <w:sz w:val="36"/>
          <w:szCs w:val="36"/>
        </w:rPr>
        <w:drawing>
          <wp:anchor distT="0" distB="0" distL="114300" distR="114300" simplePos="0" relativeHeight="251651072" behindDoc="0" locked="0" layoutInCell="1" allowOverlap="1">
            <wp:simplePos x="0" y="0"/>
            <wp:positionH relativeFrom="column">
              <wp:posOffset>4455160</wp:posOffset>
            </wp:positionH>
            <wp:positionV relativeFrom="paragraph">
              <wp:posOffset>-28575</wp:posOffset>
            </wp:positionV>
            <wp:extent cx="536575" cy="693420"/>
            <wp:effectExtent l="19050" t="0" r="0" b="0"/>
            <wp:wrapNone/>
            <wp:docPr id="1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4"/>
                    <pic:cNvPicPr>
                      <a:picLocks noChangeAspect="1" noChangeArrowheads="1"/>
                    </pic:cNvPicPr>
                  </pic:nvPicPr>
                  <pic:blipFill>
                    <a:blip r:embed="rId9" cstate="print"/>
                    <a:srcRect/>
                    <a:stretch>
                      <a:fillRect/>
                    </a:stretch>
                  </pic:blipFill>
                  <pic:spPr>
                    <a:xfrm>
                      <a:off x="0" y="0"/>
                      <a:ext cx="536575" cy="693420"/>
                    </a:xfrm>
                    <a:prstGeom prst="rect">
                      <a:avLst/>
                    </a:prstGeom>
                    <a:solidFill>
                      <a:srgbClr val="99FF99"/>
                    </a:solidFill>
                  </pic:spPr>
                </pic:pic>
              </a:graphicData>
            </a:graphic>
          </wp:anchor>
        </w:drawing>
      </w:r>
      <w:r>
        <w:pict>
          <v:shape id="_x0000_s1026" o:spid="_x0000_s1026" o:spt="136" type="#_x0000_t136" style="position:absolute;left:0pt;margin-left:0pt;margin-top:-25.5pt;height:37.6pt;width:144pt;z-index:251700224;mso-width-relative:page;mso-height-relative:page;" fillcolor="#CCFFCC" filled="t" stroked="t" coordsize="21600,21600" adj="10800">
            <v:path/>
            <v:fill on="t" color2="#FFFFFF" focussize="0,0"/>
            <v:stroke weight="1.5pt" color="#CCFFCC"/>
            <v:imagedata o:title=""/>
            <o:lock v:ext="edit" aspectratio="f"/>
            <v:textpath on="t" fitshape="t" fitpath="t" trim="t" xscale="f" string="本期目录" style="font-family:宋体;font-size:36pt;v-text-align:center;"/>
            <v:shadow on="t" obscured="0" color="#990000" opacity="65536f" offset="2pt,2pt" offset2="0pt,0pt" origin="0f,0f" matrix="65536f,0f,0f,65536f,0,0"/>
          </v:shape>
        </w:pict>
      </w:r>
      <w:r>
        <w:rPr>
          <w:sz w:val="20"/>
          <w:szCs w:val="20"/>
        </w:rPr>
        <w:fldChar w:fldCharType="begin"/>
      </w:r>
      <w:r>
        <w:rPr>
          <w:sz w:val="20"/>
          <w:szCs w:val="20"/>
        </w:rPr>
        <w:instrText xml:space="preserve"> TOC \o "1-3" \h \z \u </w:instrText>
      </w:r>
      <w:r>
        <w:rPr>
          <w:sz w:val="20"/>
          <w:szCs w:val="20"/>
        </w:rPr>
        <w:fldChar w:fldCharType="separate"/>
      </w:r>
    </w:p>
    <w:p>
      <w:pPr>
        <w:pStyle w:val="17"/>
        <w:tabs>
          <w:tab w:val="right" w:leader="dot" w:pos="8551"/>
          <w:tab w:val="clear" w:pos="1255"/>
          <w:tab w:val="clear" w:pos="8812"/>
        </w:tabs>
      </w:pPr>
      <w:r>
        <w:fldChar w:fldCharType="begin"/>
      </w:r>
      <w:r>
        <w:instrText xml:space="preserve"> HYPERLINK \l _Toc23773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第一部分</w:t>
      </w:r>
      <w:r>
        <w:tab/>
      </w:r>
      <w:r>
        <w:fldChar w:fldCharType="begin"/>
      </w:r>
      <w:r>
        <w:instrText xml:space="preserve"> PAGEREF _Toc23773 </w:instrText>
      </w:r>
      <w:r>
        <w:fldChar w:fldCharType="separate"/>
      </w:r>
      <w:r>
        <w:t>3</w:t>
      </w:r>
      <w:r>
        <w:fldChar w:fldCharType="end"/>
      </w:r>
      <w:r>
        <w:fldChar w:fldCharType="end"/>
      </w:r>
    </w:p>
    <w:p>
      <w:pPr>
        <w:pStyle w:val="17"/>
        <w:tabs>
          <w:tab w:val="right" w:leader="dot" w:pos="8551"/>
          <w:tab w:val="clear" w:pos="1255"/>
          <w:tab w:val="clear" w:pos="8812"/>
        </w:tabs>
      </w:pPr>
      <w:r>
        <w:fldChar w:fldCharType="begin"/>
      </w:r>
      <w:r>
        <w:instrText xml:space="preserve"> HYPERLINK \l _Toc12548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【市场与项目信息】</w:t>
      </w:r>
      <w:r>
        <w:tab/>
      </w:r>
      <w:r>
        <w:fldChar w:fldCharType="begin"/>
      </w:r>
      <w:r>
        <w:instrText xml:space="preserve"> PAGEREF _Toc12548 </w:instrText>
      </w:r>
      <w:r>
        <w:fldChar w:fldCharType="separate"/>
      </w:r>
      <w:r>
        <w:t>3</w:t>
      </w:r>
      <w:r>
        <w:fldChar w:fldCharType="end"/>
      </w:r>
      <w:r>
        <w:fldChar w:fldCharType="end"/>
      </w:r>
    </w:p>
    <w:p>
      <w:pPr>
        <w:pStyle w:val="18"/>
        <w:tabs>
          <w:tab w:val="right" w:leader="dot" w:pos="8551"/>
          <w:tab w:val="clear" w:pos="865"/>
          <w:tab w:val="clear" w:pos="8812"/>
        </w:tabs>
      </w:pPr>
      <w:r>
        <w:fldChar w:fldCharType="begin"/>
      </w:r>
      <w:r>
        <w:instrText xml:space="preserve"> HYPERLINK \l _Toc16076 </w:instrText>
      </w:r>
      <w:r>
        <w:fldChar w:fldCharType="separate"/>
      </w:r>
      <w:r>
        <w:rPr>
          <w:rFonts w:hint="eastAsia" w:ascii="仿宋" w:hAnsi="仿宋" w:eastAsia="仿宋" w:cs="仿宋"/>
          <w:bCs/>
          <w:szCs w:val="28"/>
        </w:rPr>
        <w:t>（一）互金信息安全引关注 借贷宝携手专家论道千岛湖</w:t>
      </w:r>
      <w:r>
        <w:tab/>
      </w:r>
      <w:r>
        <w:fldChar w:fldCharType="begin"/>
      </w:r>
      <w:r>
        <w:instrText xml:space="preserve"> PAGEREF _Toc16076 </w:instrText>
      </w:r>
      <w:r>
        <w:fldChar w:fldCharType="separate"/>
      </w:r>
      <w:r>
        <w:t>4</w:t>
      </w:r>
      <w:r>
        <w:fldChar w:fldCharType="end"/>
      </w:r>
      <w:r>
        <w:fldChar w:fldCharType="end"/>
      </w:r>
    </w:p>
    <w:p>
      <w:pPr>
        <w:pStyle w:val="18"/>
        <w:tabs>
          <w:tab w:val="right" w:leader="dot" w:pos="8551"/>
          <w:tab w:val="clear" w:pos="865"/>
          <w:tab w:val="clear" w:pos="8812"/>
        </w:tabs>
      </w:pPr>
      <w:r>
        <w:fldChar w:fldCharType="begin"/>
      </w:r>
      <w:r>
        <w:instrText xml:space="preserve"> HYPERLINK \l _Toc14957 </w:instrText>
      </w:r>
      <w:r>
        <w:fldChar w:fldCharType="separate"/>
      </w:r>
      <w:r>
        <w:rPr>
          <w:rFonts w:hint="eastAsia" w:ascii="仿宋" w:hAnsi="仿宋" w:eastAsia="仿宋" w:cs="仿宋"/>
          <w:bCs/>
          <w:szCs w:val="28"/>
        </w:rPr>
        <w:t>（二）谣言过滤器！微信已拦截5亿条假新闻 但半数用户认为腾讯信息安全手段平庸</w:t>
      </w:r>
      <w:r>
        <w:tab/>
      </w:r>
      <w:r>
        <w:fldChar w:fldCharType="begin"/>
      </w:r>
      <w:r>
        <w:instrText xml:space="preserve"> PAGEREF _Toc14957 </w:instrText>
      </w:r>
      <w:r>
        <w:fldChar w:fldCharType="separate"/>
      </w:r>
      <w:r>
        <w:t>6</w:t>
      </w:r>
      <w:r>
        <w:fldChar w:fldCharType="end"/>
      </w:r>
      <w:r>
        <w:fldChar w:fldCharType="end"/>
      </w:r>
    </w:p>
    <w:p>
      <w:pPr>
        <w:pStyle w:val="18"/>
        <w:tabs>
          <w:tab w:val="right" w:leader="dot" w:pos="8551"/>
          <w:tab w:val="clear" w:pos="865"/>
          <w:tab w:val="clear" w:pos="8812"/>
        </w:tabs>
      </w:pPr>
      <w:r>
        <w:fldChar w:fldCharType="begin"/>
      </w:r>
      <w:r>
        <w:instrText xml:space="preserve"> HYPERLINK \l _Toc19854 </w:instrText>
      </w:r>
      <w:r>
        <w:fldChar w:fldCharType="separate"/>
      </w:r>
      <w:r>
        <w:rPr>
          <w:rFonts w:hint="eastAsia" w:ascii="仿宋_GB2312" w:eastAsia="仿宋_GB2312" w:cs="宋体" w:hAnsiTheme="minorEastAsia"/>
          <w:kern w:val="0"/>
          <w:szCs w:val="28"/>
          <w:shd w:val="clear" w:color="auto" w:fill="FFFFFF"/>
          <w:lang w:eastAsia="zh-CN"/>
        </w:rPr>
        <w:t>（三）</w:t>
      </w:r>
      <w:r>
        <w:rPr>
          <w:rFonts w:hint="eastAsia" w:ascii="仿宋_GB2312" w:eastAsia="仿宋_GB2312" w:cs="宋体" w:hAnsiTheme="minorEastAsia"/>
          <w:kern w:val="0"/>
          <w:szCs w:val="28"/>
          <w:shd w:val="clear" w:color="auto" w:fill="FFFFFF"/>
        </w:rPr>
        <w:t>条款看得清 使用软件才安心 保护个人信息安全</w:t>
      </w:r>
      <w:r>
        <w:tab/>
      </w:r>
      <w:r>
        <w:fldChar w:fldCharType="begin"/>
      </w:r>
      <w:r>
        <w:instrText xml:space="preserve"> PAGEREF _Toc19854 </w:instrText>
      </w:r>
      <w:r>
        <w:fldChar w:fldCharType="separate"/>
      </w:r>
      <w:r>
        <w:t>8</w:t>
      </w:r>
      <w:r>
        <w:fldChar w:fldCharType="end"/>
      </w:r>
      <w:r>
        <w:fldChar w:fldCharType="end"/>
      </w:r>
    </w:p>
    <w:p>
      <w:pPr>
        <w:pStyle w:val="18"/>
        <w:tabs>
          <w:tab w:val="right" w:leader="dot" w:pos="8551"/>
          <w:tab w:val="clear" w:pos="865"/>
          <w:tab w:val="clear" w:pos="8812"/>
        </w:tabs>
      </w:pPr>
      <w:r>
        <w:fldChar w:fldCharType="begin"/>
      </w:r>
      <w:r>
        <w:instrText xml:space="preserve"> HYPERLINK \l _Toc25416 </w:instrText>
      </w:r>
      <w:r>
        <w:fldChar w:fldCharType="separate"/>
      </w:r>
      <w:r>
        <w:rPr>
          <w:rFonts w:hint="eastAsia" w:ascii="仿宋" w:hAnsi="仿宋" w:eastAsia="仿宋" w:cs="仿宋"/>
          <w:bCs/>
          <w:szCs w:val="28"/>
        </w:rPr>
        <w:t>（四） 国双正式通过ISO27001:2013信息安全管理体系认证</w:t>
      </w:r>
      <w:r>
        <w:tab/>
      </w:r>
      <w:r>
        <w:fldChar w:fldCharType="begin"/>
      </w:r>
      <w:r>
        <w:instrText xml:space="preserve"> PAGEREF _Toc25416 </w:instrText>
      </w:r>
      <w:r>
        <w:fldChar w:fldCharType="separate"/>
      </w:r>
      <w:r>
        <w:t>11</w:t>
      </w:r>
      <w:r>
        <w:fldChar w:fldCharType="end"/>
      </w:r>
      <w:r>
        <w:fldChar w:fldCharType="end"/>
      </w:r>
    </w:p>
    <w:p>
      <w:pPr>
        <w:pStyle w:val="17"/>
        <w:tabs>
          <w:tab w:val="right" w:leader="dot" w:pos="8551"/>
          <w:tab w:val="clear" w:pos="1255"/>
          <w:tab w:val="clear" w:pos="8812"/>
        </w:tabs>
      </w:pPr>
      <w:r>
        <w:fldChar w:fldCharType="begin"/>
      </w:r>
      <w:r>
        <w:instrText xml:space="preserve"> HYPERLINK \l _Toc20791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第二部分</w:t>
      </w:r>
      <w:r>
        <w:tab/>
      </w:r>
      <w:r>
        <w:fldChar w:fldCharType="begin"/>
      </w:r>
      <w:r>
        <w:instrText xml:space="preserve"> PAGEREF _Toc20791 </w:instrText>
      </w:r>
      <w:r>
        <w:fldChar w:fldCharType="separate"/>
      </w:r>
      <w:r>
        <w:t>14</w:t>
      </w:r>
      <w:r>
        <w:fldChar w:fldCharType="end"/>
      </w:r>
      <w:r>
        <w:fldChar w:fldCharType="end"/>
      </w:r>
    </w:p>
    <w:p>
      <w:pPr>
        <w:pStyle w:val="17"/>
        <w:tabs>
          <w:tab w:val="right" w:leader="dot" w:pos="8551"/>
          <w:tab w:val="clear" w:pos="1255"/>
          <w:tab w:val="clear" w:pos="8812"/>
        </w:tabs>
      </w:pPr>
      <w:r>
        <w:fldChar w:fldCharType="begin"/>
      </w:r>
      <w:r>
        <w:instrText xml:space="preserve"> HYPERLINK \l _Toc25801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【政府之声】</w:t>
      </w:r>
      <w:r>
        <w:tab/>
      </w:r>
      <w:r>
        <w:fldChar w:fldCharType="begin"/>
      </w:r>
      <w:r>
        <w:instrText xml:space="preserve"> PAGEREF _Toc25801 </w:instrText>
      </w:r>
      <w:r>
        <w:fldChar w:fldCharType="separate"/>
      </w:r>
      <w:r>
        <w:t>14</w:t>
      </w:r>
      <w:r>
        <w:fldChar w:fldCharType="end"/>
      </w:r>
      <w:r>
        <w:fldChar w:fldCharType="end"/>
      </w:r>
    </w:p>
    <w:p>
      <w:pPr>
        <w:pStyle w:val="18"/>
        <w:tabs>
          <w:tab w:val="right" w:leader="dot" w:pos="8551"/>
          <w:tab w:val="clear" w:pos="865"/>
          <w:tab w:val="clear" w:pos="8812"/>
        </w:tabs>
      </w:pPr>
      <w:r>
        <w:fldChar w:fldCharType="begin"/>
      </w:r>
      <w:r>
        <w:instrText xml:space="preserve"> HYPERLINK \l _Toc4580 </w:instrText>
      </w:r>
      <w:r>
        <w:fldChar w:fldCharType="separate"/>
      </w:r>
      <w:r>
        <w:rPr>
          <w:rFonts w:hint="eastAsia" w:ascii="仿宋" w:hAnsi="仿宋" w:eastAsia="仿宋" w:cs="仿宋"/>
          <w:bCs/>
          <w:szCs w:val="28"/>
          <w:lang w:eastAsia="zh-CN"/>
        </w:rPr>
        <w:t>（一）</w:t>
      </w:r>
      <w:r>
        <w:rPr>
          <w:rFonts w:hint="eastAsia" w:ascii="仿宋" w:hAnsi="仿宋" w:eastAsia="仿宋" w:cs="仿宋"/>
          <w:bCs/>
          <w:szCs w:val="28"/>
        </w:rPr>
        <w:t>崇州市经济科技和信息化局网络与信息安全事件应急预案</w:t>
      </w:r>
      <w:r>
        <w:tab/>
      </w:r>
      <w:r>
        <w:fldChar w:fldCharType="begin"/>
      </w:r>
      <w:r>
        <w:instrText xml:space="preserve"> PAGEREF _Toc4580 </w:instrText>
      </w:r>
      <w:r>
        <w:fldChar w:fldCharType="separate"/>
      </w:r>
      <w:r>
        <w:t>15</w:t>
      </w:r>
      <w:r>
        <w:fldChar w:fldCharType="end"/>
      </w:r>
      <w:r>
        <w:fldChar w:fldCharType="end"/>
      </w:r>
    </w:p>
    <w:p>
      <w:pPr>
        <w:pStyle w:val="18"/>
        <w:tabs>
          <w:tab w:val="right" w:leader="dot" w:pos="8551"/>
          <w:tab w:val="clear" w:pos="865"/>
          <w:tab w:val="clear" w:pos="8812"/>
        </w:tabs>
      </w:pPr>
      <w:r>
        <w:fldChar w:fldCharType="begin"/>
      </w:r>
      <w:r>
        <w:instrText xml:space="preserve"> HYPERLINK \l _Toc4940 </w:instrText>
      </w:r>
      <w:r>
        <w:fldChar w:fldCharType="separate"/>
      </w:r>
      <w:r>
        <w:rPr>
          <w:rFonts w:hint="eastAsia" w:ascii="仿宋" w:hAnsi="仿宋" w:eastAsia="仿宋" w:cs="仿宋"/>
          <w:bCs/>
          <w:kern w:val="2"/>
          <w:szCs w:val="28"/>
          <w:shd w:val="clear" w:color="auto" w:fill="auto"/>
        </w:rPr>
        <w:t>（</w:t>
      </w:r>
      <w:r>
        <w:rPr>
          <w:rFonts w:hint="eastAsia" w:ascii="仿宋" w:hAnsi="仿宋" w:eastAsia="仿宋" w:cs="仿宋"/>
          <w:bCs/>
          <w:kern w:val="2"/>
          <w:szCs w:val="28"/>
          <w:shd w:val="clear" w:color="auto" w:fill="auto"/>
          <w:lang w:eastAsia="zh-CN"/>
        </w:rPr>
        <w:t>二</w:t>
      </w:r>
      <w:r>
        <w:rPr>
          <w:rFonts w:hint="eastAsia" w:ascii="仿宋" w:hAnsi="仿宋" w:eastAsia="仿宋" w:cs="仿宋"/>
          <w:bCs/>
          <w:kern w:val="2"/>
          <w:szCs w:val="28"/>
          <w:shd w:val="clear" w:color="auto" w:fill="auto"/>
        </w:rPr>
        <w:t>）四川：474个重大项目集中开工，电子信息产业拔头筹冲万亿元目标</w:t>
      </w:r>
      <w:r>
        <w:tab/>
      </w:r>
      <w:r>
        <w:fldChar w:fldCharType="begin"/>
      </w:r>
      <w:r>
        <w:instrText xml:space="preserve"> PAGEREF _Toc4940 </w:instrText>
      </w:r>
      <w:r>
        <w:fldChar w:fldCharType="separate"/>
      </w:r>
      <w:r>
        <w:t>21</w:t>
      </w:r>
      <w:r>
        <w:fldChar w:fldCharType="end"/>
      </w:r>
      <w:r>
        <w:fldChar w:fldCharType="end"/>
      </w:r>
    </w:p>
    <w:p>
      <w:pPr>
        <w:pStyle w:val="17"/>
        <w:tabs>
          <w:tab w:val="right" w:leader="dot" w:pos="8551"/>
          <w:tab w:val="clear" w:pos="1255"/>
          <w:tab w:val="clear" w:pos="8812"/>
        </w:tabs>
      </w:pPr>
      <w:r>
        <w:fldChar w:fldCharType="begin"/>
      </w:r>
      <w:r>
        <w:instrText xml:space="preserve"> HYPERLINK \l _Toc29786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第三部分</w:t>
      </w:r>
      <w:r>
        <w:tab/>
      </w:r>
      <w:r>
        <w:fldChar w:fldCharType="begin"/>
      </w:r>
      <w:r>
        <w:instrText xml:space="preserve"> PAGEREF _Toc29786 </w:instrText>
      </w:r>
      <w:r>
        <w:fldChar w:fldCharType="separate"/>
      </w:r>
      <w:r>
        <w:t>25</w:t>
      </w:r>
      <w:r>
        <w:fldChar w:fldCharType="end"/>
      </w:r>
      <w:r>
        <w:fldChar w:fldCharType="end"/>
      </w:r>
    </w:p>
    <w:p>
      <w:pPr>
        <w:pStyle w:val="17"/>
        <w:tabs>
          <w:tab w:val="right" w:leader="dot" w:pos="8551"/>
          <w:tab w:val="clear" w:pos="1255"/>
          <w:tab w:val="clear" w:pos="8812"/>
        </w:tabs>
      </w:pPr>
      <w:r>
        <w:fldChar w:fldCharType="begin"/>
      </w:r>
      <w:r>
        <w:instrText xml:space="preserve"> HYPERLINK \l _Toc25360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【业界动态】</w:t>
      </w:r>
      <w:r>
        <w:tab/>
      </w:r>
      <w:r>
        <w:fldChar w:fldCharType="begin"/>
      </w:r>
      <w:r>
        <w:instrText xml:space="preserve"> PAGEREF _Toc25360 </w:instrText>
      </w:r>
      <w:r>
        <w:fldChar w:fldCharType="separate"/>
      </w:r>
      <w:r>
        <w:t>25</w:t>
      </w:r>
      <w:r>
        <w:fldChar w:fldCharType="end"/>
      </w:r>
      <w:r>
        <w:fldChar w:fldCharType="end"/>
      </w:r>
    </w:p>
    <w:p>
      <w:pPr>
        <w:pStyle w:val="18"/>
        <w:tabs>
          <w:tab w:val="right" w:leader="dot" w:pos="8551"/>
          <w:tab w:val="clear" w:pos="865"/>
          <w:tab w:val="clear" w:pos="8812"/>
        </w:tabs>
      </w:pPr>
      <w:r>
        <w:fldChar w:fldCharType="begin"/>
      </w:r>
      <w:r>
        <w:instrText xml:space="preserve"> HYPERLINK \l _Toc23609 </w:instrText>
      </w:r>
      <w:r>
        <w:fldChar w:fldCharType="separate"/>
      </w:r>
      <w:r>
        <w:rPr>
          <w:rFonts w:hint="eastAsia" w:ascii="仿宋" w:hAnsi="仿宋" w:eastAsia="仿宋" w:cs="仿宋"/>
          <w:bCs/>
          <w:szCs w:val="28"/>
        </w:rPr>
        <w:t>（一）个人信息泄露成网络消费大痛点</w:t>
      </w:r>
      <w:r>
        <w:tab/>
      </w:r>
      <w:r>
        <w:fldChar w:fldCharType="begin"/>
      </w:r>
      <w:r>
        <w:instrText xml:space="preserve"> PAGEREF _Toc23609 </w:instrText>
      </w:r>
      <w:r>
        <w:fldChar w:fldCharType="separate"/>
      </w:r>
      <w:r>
        <w:t>26</w:t>
      </w:r>
      <w:r>
        <w:fldChar w:fldCharType="end"/>
      </w:r>
      <w:r>
        <w:fldChar w:fldCharType="end"/>
      </w:r>
    </w:p>
    <w:p>
      <w:pPr>
        <w:pStyle w:val="18"/>
        <w:tabs>
          <w:tab w:val="right" w:leader="dot" w:pos="8551"/>
          <w:tab w:val="clear" w:pos="865"/>
          <w:tab w:val="clear" w:pos="8812"/>
        </w:tabs>
      </w:pPr>
      <w:r>
        <w:fldChar w:fldCharType="begin"/>
      </w:r>
      <w:r>
        <w:instrText xml:space="preserve"> HYPERLINK \l _Toc28689 </w:instrText>
      </w:r>
      <w:r>
        <w:fldChar w:fldCharType="separate"/>
      </w:r>
      <w:r>
        <w:rPr>
          <w:rFonts w:hint="eastAsia" w:ascii="仿宋" w:hAnsi="仿宋" w:eastAsia="仿宋" w:cs="仿宋"/>
          <w:bCs/>
          <w:szCs w:val="28"/>
        </w:rPr>
        <w:t>（二）</w:t>
      </w:r>
      <w:r>
        <w:rPr>
          <w:rFonts w:hint="eastAsia" w:ascii="仿宋" w:hAnsi="仿宋" w:eastAsia="仿宋" w:cs="仿宋"/>
          <w:bCs/>
          <w:i w:val="0"/>
          <w:caps w:val="0"/>
          <w:spacing w:val="0"/>
          <w:szCs w:val="28"/>
        </w:rPr>
        <w:t>海南信息安全基地三亚开园 首批36家企业入驻</w:t>
      </w:r>
      <w:r>
        <w:tab/>
      </w:r>
      <w:r>
        <w:fldChar w:fldCharType="begin"/>
      </w:r>
      <w:r>
        <w:instrText xml:space="preserve"> PAGEREF _Toc28689 </w:instrText>
      </w:r>
      <w:r>
        <w:fldChar w:fldCharType="separate"/>
      </w:r>
      <w:r>
        <w:t>32</w:t>
      </w:r>
      <w:r>
        <w:fldChar w:fldCharType="end"/>
      </w:r>
      <w:r>
        <w:fldChar w:fldCharType="end"/>
      </w:r>
    </w:p>
    <w:p>
      <w:pPr>
        <w:pStyle w:val="18"/>
        <w:tabs>
          <w:tab w:val="right" w:leader="dot" w:pos="8551"/>
          <w:tab w:val="clear" w:pos="865"/>
          <w:tab w:val="clear" w:pos="8812"/>
        </w:tabs>
      </w:pPr>
      <w:r>
        <w:fldChar w:fldCharType="begin"/>
      </w:r>
      <w:r>
        <w:instrText xml:space="preserve"> HYPERLINK \l _Toc2307 </w:instrText>
      </w:r>
      <w:r>
        <w:fldChar w:fldCharType="separate"/>
      </w:r>
      <w:r>
        <w:rPr>
          <w:rFonts w:hint="eastAsia" w:ascii="仿宋" w:hAnsi="仿宋" w:eastAsia="仿宋" w:cs="仿宋"/>
          <w:bCs/>
          <w:szCs w:val="28"/>
        </w:rPr>
        <w:t>（三）</w:t>
      </w:r>
      <w:r>
        <w:rPr>
          <w:rFonts w:hint="eastAsia" w:ascii="仿宋" w:hAnsi="仿宋" w:eastAsia="仿宋" w:cs="仿宋"/>
          <w:bCs/>
          <w:i w:val="0"/>
          <w:caps w:val="0"/>
          <w:spacing w:val="0"/>
          <w:szCs w:val="28"/>
        </w:rPr>
        <w:t>共筑网上网下同心圆”倡议书全文发布</w:t>
      </w:r>
      <w:r>
        <w:tab/>
      </w:r>
      <w:r>
        <w:fldChar w:fldCharType="begin"/>
      </w:r>
      <w:r>
        <w:instrText xml:space="preserve"> PAGEREF _Toc2307 </w:instrText>
      </w:r>
      <w:r>
        <w:fldChar w:fldCharType="separate"/>
      </w:r>
      <w:r>
        <w:t>33</w:t>
      </w:r>
      <w:r>
        <w:fldChar w:fldCharType="end"/>
      </w:r>
      <w:r>
        <w:fldChar w:fldCharType="end"/>
      </w:r>
    </w:p>
    <w:p>
      <w:pPr>
        <w:pStyle w:val="17"/>
        <w:tabs>
          <w:tab w:val="right" w:leader="dot" w:pos="8551"/>
          <w:tab w:val="clear" w:pos="1255"/>
          <w:tab w:val="clear" w:pos="8812"/>
        </w:tabs>
      </w:pPr>
      <w:r>
        <w:fldChar w:fldCharType="begin"/>
      </w:r>
      <w:r>
        <w:instrText xml:space="preserve"> HYPERLINK \l _Toc2414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第四部分</w:t>
      </w:r>
      <w:r>
        <w:tab/>
      </w:r>
      <w:r>
        <w:fldChar w:fldCharType="begin"/>
      </w:r>
      <w:r>
        <w:instrText xml:space="preserve"> PAGEREF _Toc2414 </w:instrText>
      </w:r>
      <w:r>
        <w:fldChar w:fldCharType="separate"/>
      </w:r>
      <w:r>
        <w:t>36</w:t>
      </w:r>
      <w:r>
        <w:fldChar w:fldCharType="end"/>
      </w:r>
      <w:r>
        <w:fldChar w:fldCharType="end"/>
      </w:r>
    </w:p>
    <w:p>
      <w:pPr>
        <w:pStyle w:val="17"/>
        <w:tabs>
          <w:tab w:val="right" w:leader="dot" w:pos="8551"/>
          <w:tab w:val="clear" w:pos="1255"/>
          <w:tab w:val="clear" w:pos="8812"/>
        </w:tabs>
      </w:pPr>
      <w:r>
        <w:fldChar w:fldCharType="begin"/>
      </w:r>
      <w:r>
        <w:instrText xml:space="preserve"> HYPERLINK \l _Toc3163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【产品与技术】</w:t>
      </w:r>
      <w:r>
        <w:tab/>
      </w:r>
      <w:r>
        <w:fldChar w:fldCharType="begin"/>
      </w:r>
      <w:r>
        <w:instrText xml:space="preserve"> PAGEREF _Toc3163 </w:instrText>
      </w:r>
      <w:r>
        <w:fldChar w:fldCharType="separate"/>
      </w:r>
      <w:r>
        <w:t>36</w:t>
      </w:r>
      <w:r>
        <w:fldChar w:fldCharType="end"/>
      </w:r>
      <w:r>
        <w:fldChar w:fldCharType="end"/>
      </w:r>
    </w:p>
    <w:p>
      <w:pPr>
        <w:pStyle w:val="18"/>
        <w:tabs>
          <w:tab w:val="right" w:leader="dot" w:pos="8551"/>
          <w:tab w:val="clear" w:pos="865"/>
          <w:tab w:val="clear" w:pos="8812"/>
        </w:tabs>
      </w:pPr>
      <w:r>
        <w:fldChar w:fldCharType="begin"/>
      </w:r>
      <w:r>
        <w:instrText xml:space="preserve"> HYPERLINK \l _Toc1337 </w:instrText>
      </w:r>
      <w:r>
        <w:fldChar w:fldCharType="separate"/>
      </w:r>
      <w:r>
        <w:rPr>
          <w:rFonts w:hint="eastAsia" w:ascii="仿宋" w:hAnsi="仿宋" w:eastAsia="仿宋" w:cs="仿宋"/>
          <w:bCs/>
          <w:szCs w:val="28"/>
        </w:rPr>
        <w:t>（一）公共WiFi覆盖量达8.51亿，腾讯WiFi管家打造多场景连网模式</w:t>
      </w:r>
      <w:r>
        <w:tab/>
      </w:r>
      <w:r>
        <w:fldChar w:fldCharType="begin"/>
      </w:r>
      <w:r>
        <w:instrText xml:space="preserve"> PAGEREF _Toc1337 </w:instrText>
      </w:r>
      <w:r>
        <w:fldChar w:fldCharType="separate"/>
      </w:r>
      <w:r>
        <w:t>37</w:t>
      </w:r>
      <w:r>
        <w:fldChar w:fldCharType="end"/>
      </w:r>
      <w:r>
        <w:fldChar w:fldCharType="end"/>
      </w:r>
    </w:p>
    <w:p>
      <w:pPr>
        <w:pStyle w:val="18"/>
        <w:tabs>
          <w:tab w:val="right" w:leader="dot" w:pos="8551"/>
          <w:tab w:val="clear" w:pos="865"/>
          <w:tab w:val="clear" w:pos="8812"/>
        </w:tabs>
      </w:pPr>
      <w:r>
        <w:fldChar w:fldCharType="begin"/>
      </w:r>
      <w:r>
        <w:instrText xml:space="preserve"> HYPERLINK \l _Toc11036 </w:instrText>
      </w:r>
      <w:r>
        <w:fldChar w:fldCharType="separate"/>
      </w:r>
      <w:r>
        <w:rPr>
          <w:rFonts w:hint="eastAsia" w:ascii="仿宋" w:hAnsi="仿宋" w:eastAsia="仿宋" w:cs="仿宋"/>
          <w:bCs/>
          <w:szCs w:val="28"/>
        </w:rPr>
        <w:t>（二）阿里首席风险官郑俊芳：安全是生命线 将时刻保持敬畏心</w:t>
      </w:r>
      <w:r>
        <w:tab/>
      </w:r>
      <w:r>
        <w:fldChar w:fldCharType="begin"/>
      </w:r>
      <w:r>
        <w:instrText xml:space="preserve"> PAGEREF _Toc11036 </w:instrText>
      </w:r>
      <w:r>
        <w:fldChar w:fldCharType="separate"/>
      </w:r>
      <w:r>
        <w:t>39</w:t>
      </w:r>
      <w:r>
        <w:fldChar w:fldCharType="end"/>
      </w:r>
      <w:r>
        <w:fldChar w:fldCharType="end"/>
      </w:r>
    </w:p>
    <w:p>
      <w:pPr>
        <w:pStyle w:val="18"/>
        <w:tabs>
          <w:tab w:val="right" w:leader="dot" w:pos="8551"/>
          <w:tab w:val="clear" w:pos="865"/>
          <w:tab w:val="clear" w:pos="8812"/>
        </w:tabs>
      </w:pPr>
      <w:r>
        <w:fldChar w:fldCharType="begin"/>
      </w:r>
      <w:r>
        <w:instrText xml:space="preserve"> HYPERLINK \l _Toc1966 </w:instrText>
      </w:r>
      <w:r>
        <w:fldChar w:fldCharType="separate"/>
      </w:r>
      <w:r>
        <w:rPr>
          <w:rFonts w:hint="eastAsia" w:ascii="仿宋" w:hAnsi="仿宋" w:eastAsia="仿宋" w:cs="仿宋"/>
          <w:bCs/>
          <w:szCs w:val="28"/>
        </w:rPr>
        <w:t>（三）我国第一款自主研制的万兆网络控制器通过科技成果鉴定</w:t>
      </w:r>
      <w:r>
        <w:tab/>
      </w:r>
      <w:r>
        <w:fldChar w:fldCharType="begin"/>
      </w:r>
      <w:r>
        <w:instrText xml:space="preserve"> PAGEREF _Toc1966 </w:instrText>
      </w:r>
      <w:r>
        <w:fldChar w:fldCharType="separate"/>
      </w:r>
      <w:r>
        <w:t>43</w:t>
      </w:r>
      <w:r>
        <w:fldChar w:fldCharType="end"/>
      </w:r>
      <w:r>
        <w:fldChar w:fldCharType="end"/>
      </w:r>
    </w:p>
    <w:p>
      <w:pPr>
        <w:pStyle w:val="17"/>
        <w:tabs>
          <w:tab w:val="right" w:leader="dot" w:pos="8551"/>
          <w:tab w:val="clear" w:pos="1255"/>
          <w:tab w:val="clear" w:pos="8812"/>
        </w:tabs>
      </w:pPr>
      <w:r>
        <w:fldChar w:fldCharType="begin"/>
      </w:r>
      <w:r>
        <w:instrText xml:space="preserve"> HYPERLINK \l _Toc18485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第五部分</w:t>
      </w:r>
      <w:r>
        <w:tab/>
      </w:r>
      <w:r>
        <w:fldChar w:fldCharType="begin"/>
      </w:r>
      <w:r>
        <w:instrText xml:space="preserve"> PAGEREF _Toc18485 </w:instrText>
      </w:r>
      <w:r>
        <w:fldChar w:fldCharType="separate"/>
      </w:r>
      <w:r>
        <w:t>46</w:t>
      </w:r>
      <w:r>
        <w:fldChar w:fldCharType="end"/>
      </w:r>
      <w:r>
        <w:fldChar w:fldCharType="end"/>
      </w:r>
    </w:p>
    <w:p>
      <w:pPr>
        <w:pStyle w:val="17"/>
        <w:tabs>
          <w:tab w:val="right" w:leader="dot" w:pos="8551"/>
          <w:tab w:val="clear" w:pos="1255"/>
          <w:tab w:val="clear" w:pos="8812"/>
        </w:tabs>
      </w:pPr>
      <w:r>
        <w:fldChar w:fldCharType="begin"/>
      </w:r>
      <w:r>
        <w:instrText xml:space="preserve"> HYPERLINK \l _Toc282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【通知与政策】</w:t>
      </w:r>
      <w:r>
        <w:tab/>
      </w:r>
      <w:r>
        <w:fldChar w:fldCharType="begin"/>
      </w:r>
      <w:r>
        <w:instrText xml:space="preserve"> PAGEREF _Toc282 </w:instrText>
      </w:r>
      <w:r>
        <w:fldChar w:fldCharType="separate"/>
      </w:r>
      <w:r>
        <w:t>46</w:t>
      </w:r>
      <w:r>
        <w:fldChar w:fldCharType="end"/>
      </w:r>
      <w:r>
        <w:fldChar w:fldCharType="end"/>
      </w:r>
    </w:p>
    <w:p>
      <w:pPr>
        <w:pStyle w:val="18"/>
        <w:tabs>
          <w:tab w:val="right" w:leader="dot" w:pos="8551"/>
          <w:tab w:val="clear" w:pos="865"/>
          <w:tab w:val="clear" w:pos="8812"/>
        </w:tabs>
      </w:pPr>
      <w:r>
        <w:fldChar w:fldCharType="begin"/>
      </w:r>
      <w:r>
        <w:instrText xml:space="preserve"> HYPERLINK \l _Toc12148 </w:instrText>
      </w:r>
      <w:r>
        <w:fldChar w:fldCharType="separate"/>
      </w:r>
      <w:r>
        <w:rPr>
          <w:rFonts w:hint="eastAsia" w:ascii="仿宋" w:hAnsi="仿宋" w:eastAsia="仿宋" w:cs="仿宋"/>
          <w:bCs/>
          <w:kern w:val="2"/>
          <w:szCs w:val="28"/>
          <w:lang w:eastAsia="zh-CN"/>
        </w:rPr>
        <w:t>（一） 成都市人民政府办公厅关于大力发展高新技术服务业支撑产业功能区及园区建设增强西部科技中心功能的实施意见</w:t>
      </w:r>
      <w:r>
        <w:tab/>
      </w:r>
      <w:r>
        <w:fldChar w:fldCharType="begin"/>
      </w:r>
      <w:r>
        <w:instrText xml:space="preserve"> PAGEREF _Toc12148 </w:instrText>
      </w:r>
      <w:r>
        <w:fldChar w:fldCharType="separate"/>
      </w:r>
      <w:r>
        <w:t>47</w:t>
      </w:r>
      <w:r>
        <w:fldChar w:fldCharType="end"/>
      </w:r>
      <w:r>
        <w:fldChar w:fldCharType="end"/>
      </w:r>
    </w:p>
    <w:p>
      <w:pPr>
        <w:pStyle w:val="18"/>
        <w:tabs>
          <w:tab w:val="right" w:leader="dot" w:pos="8551"/>
          <w:tab w:val="clear" w:pos="865"/>
          <w:tab w:val="clear" w:pos="8812"/>
        </w:tabs>
      </w:pPr>
      <w:r>
        <w:fldChar w:fldCharType="begin"/>
      </w:r>
      <w:r>
        <w:instrText xml:space="preserve"> HYPERLINK \l _Toc32758 </w:instrText>
      </w:r>
      <w:r>
        <w:fldChar w:fldCharType="separate"/>
      </w:r>
      <w:r>
        <w:rPr>
          <w:rFonts w:hint="eastAsia" w:ascii="仿宋" w:hAnsi="仿宋" w:eastAsia="仿宋" w:cs="仿宋"/>
          <w:bCs/>
          <w:kern w:val="2"/>
          <w:szCs w:val="28"/>
        </w:rPr>
        <w:t>（</w:t>
      </w:r>
      <w:r>
        <w:rPr>
          <w:rFonts w:hint="eastAsia" w:ascii="仿宋" w:hAnsi="仿宋" w:eastAsia="仿宋" w:cs="仿宋"/>
          <w:bCs/>
          <w:kern w:val="2"/>
          <w:szCs w:val="28"/>
          <w:lang w:eastAsia="zh-CN"/>
        </w:rPr>
        <w:t>二</w:t>
      </w:r>
      <w:r>
        <w:rPr>
          <w:rFonts w:hint="eastAsia" w:ascii="仿宋" w:hAnsi="仿宋" w:eastAsia="仿宋" w:cs="仿宋"/>
          <w:bCs/>
          <w:kern w:val="2"/>
          <w:szCs w:val="28"/>
        </w:rPr>
        <w:t>）《关于大力发展高新技术服务业支撑产业功能区及园区建设增强西部科技中心功能的实施意见》政策解读</w:t>
      </w:r>
      <w:r>
        <w:tab/>
      </w:r>
      <w:r>
        <w:fldChar w:fldCharType="begin"/>
      </w:r>
      <w:r>
        <w:instrText xml:space="preserve"> PAGEREF _Toc32758 </w:instrText>
      </w:r>
      <w:r>
        <w:fldChar w:fldCharType="separate"/>
      </w:r>
      <w:r>
        <w:t>55</w:t>
      </w:r>
      <w:r>
        <w:fldChar w:fldCharType="end"/>
      </w:r>
      <w:r>
        <w:fldChar w:fldCharType="end"/>
      </w:r>
    </w:p>
    <w:p>
      <w:pPr>
        <w:pStyle w:val="17"/>
        <w:tabs>
          <w:tab w:val="right" w:leader="dot" w:pos="8551"/>
          <w:tab w:val="clear" w:pos="1255"/>
          <w:tab w:val="clear" w:pos="8812"/>
        </w:tabs>
      </w:pPr>
      <w:r>
        <w:fldChar w:fldCharType="begin"/>
      </w:r>
      <w:r>
        <w:instrText xml:space="preserve"> HYPERLINK \l _Toc1963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第六部分</w:t>
      </w:r>
      <w:r>
        <w:tab/>
      </w:r>
      <w:r>
        <w:fldChar w:fldCharType="begin"/>
      </w:r>
      <w:r>
        <w:instrText xml:space="preserve"> PAGEREF _Toc1963 </w:instrText>
      </w:r>
      <w:r>
        <w:fldChar w:fldCharType="separate"/>
      </w:r>
      <w:r>
        <w:t>60</w:t>
      </w:r>
      <w:r>
        <w:fldChar w:fldCharType="end"/>
      </w:r>
      <w:r>
        <w:fldChar w:fldCharType="end"/>
      </w:r>
    </w:p>
    <w:p>
      <w:pPr>
        <w:pStyle w:val="17"/>
        <w:tabs>
          <w:tab w:val="right" w:leader="dot" w:pos="8551"/>
          <w:tab w:val="clear" w:pos="1255"/>
          <w:tab w:val="clear" w:pos="8812"/>
        </w:tabs>
      </w:pPr>
      <w:r>
        <w:fldChar w:fldCharType="begin"/>
      </w:r>
      <w:r>
        <w:instrText xml:space="preserve"> HYPERLINK \l _Toc8465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【管理与创新】</w:t>
      </w:r>
      <w:r>
        <w:tab/>
      </w:r>
      <w:r>
        <w:fldChar w:fldCharType="begin"/>
      </w:r>
      <w:r>
        <w:instrText xml:space="preserve"> PAGEREF _Toc8465 </w:instrText>
      </w:r>
      <w:r>
        <w:fldChar w:fldCharType="separate"/>
      </w:r>
      <w:r>
        <w:t>60</w:t>
      </w:r>
      <w:r>
        <w:fldChar w:fldCharType="end"/>
      </w:r>
      <w:r>
        <w:fldChar w:fldCharType="end"/>
      </w:r>
    </w:p>
    <w:p>
      <w:pPr>
        <w:pStyle w:val="18"/>
        <w:tabs>
          <w:tab w:val="right" w:leader="dot" w:pos="8551"/>
          <w:tab w:val="clear" w:pos="865"/>
          <w:tab w:val="clear" w:pos="8812"/>
        </w:tabs>
      </w:pPr>
      <w:r>
        <w:fldChar w:fldCharType="begin"/>
      </w:r>
      <w:r>
        <w:instrText xml:space="preserve"> HYPERLINK \l _Toc11971 </w:instrText>
      </w:r>
      <w:r>
        <w:fldChar w:fldCharType="separate"/>
      </w:r>
      <w:r>
        <w:rPr>
          <w:rFonts w:hint="eastAsia" w:ascii="仿宋" w:hAnsi="仿宋" w:eastAsia="仿宋" w:cs="仿宋"/>
          <w:bCs/>
          <w:kern w:val="2"/>
          <w:szCs w:val="28"/>
          <w:shd w:val="clear" w:color="auto" w:fill="auto"/>
        </w:rPr>
        <w:t>（一）华为是如何培养管理者的？</w:t>
      </w:r>
      <w:r>
        <w:tab/>
      </w:r>
      <w:r>
        <w:fldChar w:fldCharType="begin"/>
      </w:r>
      <w:r>
        <w:instrText xml:space="preserve"> PAGEREF _Toc11971 </w:instrText>
      </w:r>
      <w:r>
        <w:fldChar w:fldCharType="separate"/>
      </w:r>
      <w:r>
        <w:t>61</w:t>
      </w:r>
      <w:r>
        <w:fldChar w:fldCharType="end"/>
      </w:r>
      <w:r>
        <w:fldChar w:fldCharType="end"/>
      </w:r>
    </w:p>
    <w:p>
      <w:pPr>
        <w:pStyle w:val="17"/>
        <w:tabs>
          <w:tab w:val="right" w:leader="dot" w:pos="8551"/>
          <w:tab w:val="clear" w:pos="1255"/>
          <w:tab w:val="clear" w:pos="8812"/>
        </w:tabs>
      </w:pPr>
      <w:r>
        <w:fldChar w:fldCharType="begin"/>
      </w:r>
      <w:r>
        <w:instrText xml:space="preserve"> HYPERLINK \l _Toc30130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第七部分</w:t>
      </w:r>
      <w:r>
        <w:tab/>
      </w:r>
      <w:r>
        <w:fldChar w:fldCharType="begin"/>
      </w:r>
      <w:r>
        <w:instrText xml:space="preserve"> PAGEREF _Toc30130 </w:instrText>
      </w:r>
      <w:r>
        <w:fldChar w:fldCharType="separate"/>
      </w:r>
      <w:r>
        <w:t>68</w:t>
      </w:r>
      <w:r>
        <w:fldChar w:fldCharType="end"/>
      </w:r>
      <w:r>
        <w:fldChar w:fldCharType="end"/>
      </w:r>
    </w:p>
    <w:p>
      <w:pPr>
        <w:pStyle w:val="17"/>
        <w:tabs>
          <w:tab w:val="right" w:leader="dot" w:pos="8551"/>
          <w:tab w:val="clear" w:pos="1255"/>
          <w:tab w:val="clear" w:pos="8812"/>
        </w:tabs>
      </w:pPr>
      <w:r>
        <w:fldChar w:fldCharType="begin"/>
      </w:r>
      <w:r>
        <w:instrText xml:space="preserve"> HYPERLINK \l _Toc6085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【会展资讯】</w:t>
      </w:r>
      <w:r>
        <w:tab/>
      </w:r>
      <w:r>
        <w:fldChar w:fldCharType="begin"/>
      </w:r>
      <w:r>
        <w:instrText xml:space="preserve"> PAGEREF _Toc6085 </w:instrText>
      </w:r>
      <w:r>
        <w:fldChar w:fldCharType="separate"/>
      </w:r>
      <w:r>
        <w:t>68</w:t>
      </w:r>
      <w:r>
        <w:fldChar w:fldCharType="end"/>
      </w:r>
      <w:r>
        <w:fldChar w:fldCharType="end"/>
      </w:r>
    </w:p>
    <w:p>
      <w:pPr>
        <w:pStyle w:val="18"/>
        <w:tabs>
          <w:tab w:val="right" w:leader="dot" w:pos="8551"/>
          <w:tab w:val="clear" w:pos="865"/>
          <w:tab w:val="clear" w:pos="8812"/>
        </w:tabs>
      </w:pPr>
      <w:r>
        <w:fldChar w:fldCharType="begin"/>
      </w:r>
      <w:r>
        <w:instrText xml:space="preserve"> HYPERLINK \l _Toc14360 </w:instrText>
      </w:r>
      <w:r>
        <w:fldChar w:fldCharType="separate"/>
      </w:r>
      <w:r>
        <w:rPr>
          <w:rFonts w:hint="eastAsia" w:ascii="仿宋" w:hAnsi="仿宋" w:eastAsia="仿宋" w:cs="仿宋"/>
          <w:bCs/>
          <w:szCs w:val="28"/>
        </w:rPr>
        <w:t>（一）成都市信息安全公共服务平台建成投运</w:t>
      </w:r>
      <w:r>
        <w:tab/>
      </w:r>
      <w:r>
        <w:fldChar w:fldCharType="begin"/>
      </w:r>
      <w:r>
        <w:instrText xml:space="preserve"> PAGEREF _Toc14360 </w:instrText>
      </w:r>
      <w:r>
        <w:fldChar w:fldCharType="separate"/>
      </w:r>
      <w:r>
        <w:t>69</w:t>
      </w:r>
      <w:r>
        <w:fldChar w:fldCharType="end"/>
      </w:r>
      <w:r>
        <w:fldChar w:fldCharType="end"/>
      </w:r>
    </w:p>
    <w:p>
      <w:pPr>
        <w:pStyle w:val="17"/>
        <w:tabs>
          <w:tab w:val="right" w:leader="dot" w:pos="8551"/>
          <w:tab w:val="clear" w:pos="1255"/>
          <w:tab w:val="clear" w:pos="8812"/>
        </w:tabs>
      </w:pPr>
      <w:r>
        <w:fldChar w:fldCharType="begin"/>
      </w:r>
      <w:r>
        <w:instrText xml:space="preserve"> HYPERLINK \l _Toc16872 </w:instrText>
      </w:r>
      <w:r>
        <w:fldChar w:fldCharType="separate"/>
      </w:r>
      <w:r>
        <w:rPr>
          <w:rFonts w:hint="eastAsia" w:ascii="仿宋_GB2312" w:eastAsia="仿宋_GB2312"/>
          <w:szCs w:val="28"/>
        </w:rPr>
        <w:t>结   语</w:t>
      </w:r>
      <w:r>
        <w:tab/>
      </w:r>
      <w:r>
        <w:fldChar w:fldCharType="begin"/>
      </w:r>
      <w:r>
        <w:instrText xml:space="preserve"> PAGEREF _Toc16872 </w:instrText>
      </w:r>
      <w:r>
        <w:fldChar w:fldCharType="separate"/>
      </w:r>
      <w:r>
        <w:t>72</w:t>
      </w:r>
      <w:r>
        <w:fldChar w:fldCharType="end"/>
      </w:r>
      <w:r>
        <w:fldChar w:fldCharType="end"/>
      </w:r>
    </w:p>
    <w:p>
      <w:pPr>
        <w:pStyle w:val="21"/>
        <w:tabs>
          <w:tab w:val="left" w:pos="3435"/>
        </w:tabs>
        <w:spacing w:line="380" w:lineRule="exact"/>
        <w:ind w:left="120" w:firstLine="2249" w:firstLineChars="700"/>
        <w:jc w:val="both"/>
      </w:pPr>
      <w:r>
        <w:fldChar w:fldCharType="end"/>
      </w:r>
    </w:p>
    <w:p>
      <w:pPr>
        <w:tabs>
          <w:tab w:val="left" w:pos="3435"/>
        </w:tabs>
        <w:spacing w:line="380" w:lineRule="exact"/>
        <w:ind w:firstLine="0"/>
      </w:pPr>
    </w:p>
    <w:p>
      <w:pPr>
        <w:tabs>
          <w:tab w:val="left" w:pos="3435"/>
        </w:tabs>
        <w:spacing w:line="380" w:lineRule="exact"/>
        <w:ind w:firstLine="0"/>
      </w:pPr>
    </w:p>
    <w:p>
      <w:pPr>
        <w:tabs>
          <w:tab w:val="left" w:pos="3435"/>
        </w:tabs>
        <w:spacing w:line="380" w:lineRule="exact"/>
        <w:ind w:firstLine="0"/>
      </w:pPr>
    </w:p>
    <w:p>
      <w:pPr>
        <w:tabs>
          <w:tab w:val="left" w:pos="3435"/>
        </w:tabs>
        <w:spacing w:line="380" w:lineRule="exact"/>
        <w:ind w:firstLine="0"/>
      </w:pPr>
    </w:p>
    <w:p>
      <w:pPr>
        <w:tabs>
          <w:tab w:val="left" w:pos="3435"/>
        </w:tabs>
        <w:spacing w:line="380" w:lineRule="exact"/>
        <w:ind w:firstLine="0"/>
      </w:pPr>
    </w:p>
    <w:p>
      <w:pPr>
        <w:ind w:right="1684" w:firstLine="0"/>
        <w:jc w:val="left"/>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0" w:name="_Toc23773"/>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hint="eastAsia"/>
        </w:rPr>
        <w:drawing>
          <wp:anchor distT="0" distB="0" distL="114300" distR="114300" simplePos="0" relativeHeight="251649024" behindDoc="1" locked="0" layoutInCell="1" allowOverlap="1">
            <wp:simplePos x="0" y="0"/>
            <wp:positionH relativeFrom="column">
              <wp:posOffset>-1163955</wp:posOffset>
            </wp:positionH>
            <wp:positionV relativeFrom="paragraph">
              <wp:posOffset>-947420</wp:posOffset>
            </wp:positionV>
            <wp:extent cx="7856855" cy="11723370"/>
            <wp:effectExtent l="19050" t="0" r="0" b="0"/>
            <wp:wrapNone/>
            <wp:docPr id="2" name="图片 504"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04" descr="0072"/>
                    <pic:cNvPicPr>
                      <a:picLocks noChangeAspect="1" noChangeArrowheads="1"/>
                    </pic:cNvPicPr>
                  </pic:nvPicPr>
                  <pic:blipFill>
                    <a:blip r:embed="rId10" cstate="print">
                      <a:lum bright="70000" contrast="-70000"/>
                    </a:blip>
                    <a:srcRect/>
                    <a:stretch>
                      <a:fillRect/>
                    </a:stretch>
                  </pic:blipFill>
                  <pic:spPr>
                    <a:xfrm>
                      <a:off x="0" y="0"/>
                      <a:ext cx="7856867" cy="11723298"/>
                    </a:xfrm>
                    <a:prstGeom prst="rect">
                      <a:avLst/>
                    </a:prstGeom>
                    <a:solidFill>
                      <a:srgbClr val="CCFFCC">
                        <a:alpha val="0"/>
                      </a:srgbClr>
                    </a:solidFill>
                  </pic:spPr>
                </pic:pic>
              </a:graphicData>
            </a:graphic>
          </wp:anchor>
        </w:drawing>
      </w: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第一部分</w:t>
      </w:r>
      <w:bookmarkEnd w:id="0"/>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firstLine="0" w:firstLineChars="0"/>
        <w:jc w:val="center"/>
        <w:outlineLvl w:val="0"/>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1" w:name="_Toc12548"/>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【市场与项目信息】</w:t>
      </w:r>
      <w:bookmarkEnd w:id="1"/>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center"/>
      </w:pPr>
    </w:p>
    <w:p>
      <w:pPr>
        <w:tabs>
          <w:tab w:val="left" w:pos="3435"/>
        </w:tabs>
        <w:spacing w:line="360" w:lineRule="auto"/>
        <w:ind w:firstLine="0"/>
        <w:jc w:val="both"/>
      </w:pPr>
    </w:p>
    <w:p>
      <w:pPr>
        <w:pStyle w:val="3"/>
        <w:numPr>
          <w:ilvl w:val="2"/>
          <w:numId w:val="0"/>
        </w:numPr>
        <w:ind w:left="0" w:leftChars="0" w:right="149" w:rightChars="71" w:firstLine="0" w:firstLineChars="0"/>
        <w:jc w:val="left"/>
        <w:outlineLvl w:val="1"/>
        <w:rPr>
          <w:rStyle w:val="23"/>
          <w:rFonts w:hint="eastAsia" w:ascii="仿宋" w:hAnsi="仿宋" w:eastAsia="仿宋" w:cs="仿宋"/>
          <w:b/>
          <w:bCs/>
          <w:sz w:val="28"/>
          <w:szCs w:val="28"/>
        </w:rPr>
      </w:pPr>
      <w:bookmarkStart w:id="2" w:name="_Toc16076"/>
      <w:bookmarkStart w:id="3" w:name="_Toc401135161"/>
      <w:bookmarkStart w:id="4" w:name="_Toc401069829"/>
      <w:bookmarkStart w:id="5" w:name="_Toc401135057"/>
      <w:bookmarkStart w:id="6" w:name="_Toc136937363"/>
      <w:bookmarkStart w:id="7" w:name="_Toc132711570"/>
      <w:bookmarkStart w:id="8" w:name="_Toc165268748"/>
      <w:r>
        <w:rPr>
          <w:rFonts w:hint="eastAsia" w:ascii="仿宋" w:hAnsi="仿宋" w:eastAsia="仿宋" w:cs="仿宋"/>
          <w:b/>
          <w:bCs/>
          <w:sz w:val="28"/>
          <w:szCs w:val="28"/>
        </w:rPr>
        <w:t>（一）互金信息安全引关注 借贷宝携手专家论道千岛湖</w:t>
      </w:r>
      <w:bookmarkEnd w:id="2"/>
    </w:p>
    <w:p>
      <w:pPr>
        <w:ind w:left="0" w:leftChars="0" w:firstLine="0" w:firstLineChars="0"/>
        <w:rPr>
          <w:rFonts w:ascii="仿宋_GB2312" w:hAnsi="仿宋" w:eastAsia="仿宋_GB2312"/>
          <w:b/>
          <w:sz w:val="28"/>
          <w:szCs w:val="28"/>
        </w:rPr>
      </w:pPr>
      <w:r>
        <w:rPr>
          <w:rFonts w:hint="eastAsia" w:ascii="仿宋_GB2312" w:hAnsi="仿宋" w:eastAsia="仿宋_GB2312"/>
          <w:b/>
          <w:sz w:val="28"/>
          <w:szCs w:val="28"/>
        </w:rPr>
        <w:t>来源：</w:t>
      </w:r>
      <w:bookmarkEnd w:id="3"/>
      <w:bookmarkEnd w:id="4"/>
      <w:bookmarkEnd w:id="5"/>
      <w:r>
        <w:rPr>
          <w:rFonts w:hint="eastAsia" w:ascii="仿宋_GB2312" w:hAnsi="仿宋" w:eastAsia="仿宋_GB2312"/>
          <w:b/>
          <w:sz w:val="28"/>
          <w:szCs w:val="28"/>
          <w:lang w:eastAsia="zh-CN"/>
        </w:rPr>
        <w:t>中华财会网</w:t>
      </w:r>
      <w:r>
        <w:rPr>
          <w:rFonts w:ascii="仿宋_GB2312" w:hAnsi="仿宋" w:eastAsia="仿宋_GB2312"/>
          <w:b/>
          <w:sz w:val="28"/>
          <w:szCs w:val="28"/>
        </w:rPr>
        <w:t xml:space="preserve"> </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5月4日，来自金融、法律领域专家学者以及借贷宝、蚂蚁金服等互金企业代表齐聚浙江千岛湖，一同围绕“隐私保护和平台责任”这一大数据时代的重要议题展开了深入研讨，旨在厘清互联网平台个人信息保护的相关内容，推动普惠金融健康发展。会议引起了行业的高度关注。</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据中国互联网络信息中心数据显示，截止2017年底，我国网民数量达到近8亿，普及率达到55.8%，超过全球平均水平4.1个百分点。其中65.5%的网民有网上支付行为，有理财、借贷等互金行为的网民规模达到1.29亿。这意味着，以互联网为代表的数字技术正在加速融入社会各个领域。</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但人们需清醒的认识到，随着越来越多人触及互联网金融产品，互金领域的个人敏感信息和隐私保护等问题也愈发突出。这不得不让人联想到今年3月，由权威机构公布的一份《移动金融用户个人信息安全测评报告》：从隐私政策、敏感权限获取、财产身份信息收集等几大维度对200款移动金融交互类APP评测显示，仅借贷宝、京东金融、支付宝、小米金融等少数几个平台合规率较高，令人遗憾。</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针对近年来用户隐私泄露、违规收集个人敏感信息等事件时有发生等问题，借贷宝副总裁曾军在研讨会上就特别指出，互金行业要有底线意识，而企业要提高对于用户个人隐私的保护意识，首先要树立自觉性，严格守住‘知情同意’底线，同时宽容对待业务创新，才能多方共赢。</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可以看到，作为少数合规率较高的互金平台之一，借贷宝一直以来都极其注重用户隐私保护，堪称采集个人信息最少的网贷平台。究其原因，主要源于借贷宝纯信息中介的定位，以及独特的业务模式。</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曾军表示：“平台只需要验证借贷双方是本人，以保证电子借条与纸质借条法律效力相同。鉴权还是通过银行，平台并不截留敏感数据”。而另一方面，借贷宝采用的是低风险、高效率的“强数据征信”模式，主要记录用户借贷交易明细，其他不相关信息一概不会收集，这也最大限度维护了用户个人信息安全。</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不过，当前像借贷宝等特有模式及自律的互金平台仍不多，仍有不少互金平台任凭用户隐私“裸奔”，监管机构还有没有其他行之有效的约束方式呢？中国互联网协会研究中心秘书长吴沈括建议，可以借鉴欧盟相关法案。</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5月25日，欧盟一般数据保护条例GDPR就将正式施行。其中要求无论政府还是相关机构，都有义务保护其所收集、处理、利用的个人数据。一旦违反将被处以高额行政罚款，其中包括1000万到2000万欧元或企业全球年营业额的2%到4%，堪称严厉至极。</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可以预见，随着监管机构的积极介入和相关政策的出台，金融机构违规收集或泄露用户隐私，将会面临越来越严重的后果。而只有完善法律法规、平台提高自觉性、用户增强自我保护意识等多方共同聚力，大众的个人信息安全的关口才能真正把牢。</w:t>
      </w:r>
    </w:p>
    <w:p>
      <w:pPr>
        <w:ind w:left="0" w:leftChars="0" w:firstLine="0" w:firstLineChars="0"/>
        <w:rPr>
          <w:rFonts w:hint="eastAsia" w:ascii="仿宋_GB2312" w:hAnsi="仿宋" w:eastAsia="仿宋_GB2312"/>
          <w:b w:val="0"/>
          <w:bCs/>
          <w:sz w:val="28"/>
          <w:szCs w:val="28"/>
        </w:rPr>
      </w:pPr>
    </w:p>
    <w:p>
      <w:pPr>
        <w:ind w:left="0" w:leftChars="0" w:firstLine="0" w:firstLineChars="0"/>
        <w:rPr>
          <w:rFonts w:hint="eastAsia" w:ascii="仿宋_GB2312" w:hAnsi="仿宋" w:eastAsia="仿宋_GB2312"/>
          <w:b w:val="0"/>
          <w:bCs/>
          <w:sz w:val="28"/>
          <w:szCs w:val="28"/>
        </w:rPr>
      </w:pPr>
    </w:p>
    <w:p>
      <w:pPr>
        <w:pStyle w:val="3"/>
        <w:numPr>
          <w:ilvl w:val="2"/>
          <w:numId w:val="0"/>
        </w:numPr>
        <w:ind w:left="0" w:leftChars="0" w:right="149" w:rightChars="71" w:firstLine="0" w:firstLineChars="0"/>
        <w:jc w:val="left"/>
        <w:outlineLvl w:val="1"/>
        <w:rPr>
          <w:rFonts w:hint="eastAsia" w:ascii="仿宋" w:hAnsi="仿宋" w:eastAsia="仿宋" w:cs="仿宋"/>
          <w:b/>
          <w:bCs/>
          <w:sz w:val="28"/>
          <w:szCs w:val="28"/>
        </w:rPr>
      </w:pPr>
      <w:bookmarkStart w:id="9" w:name="_Toc14957"/>
      <w:r>
        <w:rPr>
          <w:rFonts w:hint="eastAsia" w:ascii="仿宋" w:hAnsi="仿宋" w:eastAsia="仿宋" w:cs="仿宋"/>
          <w:b/>
          <w:bCs/>
          <w:sz w:val="28"/>
          <w:szCs w:val="28"/>
        </w:rPr>
        <w:t>（二）谣言过滤器！微信已拦截5亿条假新闻 但半数用户认为腾讯信息安全手段平庸</w:t>
      </w:r>
      <w:bookmarkEnd w:id="9"/>
    </w:p>
    <w:p>
      <w:pPr>
        <w:ind w:firstLine="141" w:firstLineChars="50"/>
        <w:jc w:val="left"/>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 xml:space="preserve">来源: </w:t>
      </w:r>
      <w:r>
        <w:rPr>
          <w:rFonts w:hint="eastAsia" w:ascii="仿宋_GB2312" w:eastAsia="仿宋_GB2312"/>
          <w:b/>
          <w:color w:val="000000" w:themeColor="text1"/>
          <w:sz w:val="28"/>
          <w:szCs w:val="28"/>
          <w:lang w:eastAsia="zh-CN"/>
          <w14:textFill>
            <w14:solidFill>
              <w14:schemeClr w14:val="tx1"/>
            </w14:solidFill>
          </w14:textFill>
        </w:rPr>
        <w:t>前瞻网</w:t>
      </w:r>
      <w:r>
        <w:rPr>
          <w:rFonts w:ascii="仿宋_GB2312" w:eastAsia="仿宋_GB2312"/>
          <w:b/>
          <w:color w:val="000000" w:themeColor="text1"/>
          <w:sz w:val="28"/>
          <w:szCs w:val="28"/>
          <w14:textFill>
            <w14:solidFill>
              <w14:schemeClr w14:val="tx1"/>
            </w14:solidFill>
          </w14:textFill>
        </w:rPr>
        <w:drawing>
          <wp:inline distT="0" distB="0" distL="114300" distR="114300">
            <wp:extent cx="5429885" cy="3013710"/>
            <wp:effectExtent l="0" t="0" r="18415" b="15240"/>
            <wp:docPr id="14" name="图片 1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
                    <pic:cNvPicPr>
                      <a:picLocks noChangeAspect="1"/>
                    </pic:cNvPicPr>
                  </pic:nvPicPr>
                  <pic:blipFill>
                    <a:blip r:embed="rId11"/>
                    <a:stretch>
                      <a:fillRect/>
                    </a:stretch>
                  </pic:blipFill>
                  <pic:spPr>
                    <a:xfrm>
                      <a:off x="0" y="0"/>
                      <a:ext cx="5429885" cy="3013710"/>
                    </a:xfrm>
                    <a:prstGeom prst="rect">
                      <a:avLst/>
                    </a:prstGeom>
                  </pic:spPr>
                </pic:pic>
              </a:graphicData>
            </a:graphic>
          </wp:inline>
        </w:drawing>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一份官方报告显示，拥有超过10亿用户的微信现在已是对抗网络谣言的重要力量。截至目前，微信已经拦截了约5亿条可能是假新闻的信息。</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工信部下属中国信息通信技术研究院发布的报告提到，除了在软件内部过滤掉虚假信息，微信还选择和第三方合作，对谣言进行过滤和清理。目前，包括关于马航370、XX治愈癌症等内容，已经在微信一个迷你程序的黑名单中。截至2017年底，有超过197万条谣言被拦下，另外还对3700万条疑似谣言信息的接收人发出了警告。</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此外，微信官方公众号“谣言过滤器”还在上月底公布了当月热传的谣言，警示用户。其中"祝福图片、视频暗藏钓鱼程序造成20万人受害"、“一张微信截图就能把你的银行卡刷光”、“烧烫伤抹蛋清、噎到东西举起手”、“要求转发5个群才能观看的视频含有木马病毒”、“那些“褪色”饮料”、“百余人团伙抢小孩，偷器官”、“王国军5岁女儿被拐”、“MH370消失是美国专利阴谋，为了劫持中国工程师”、“石家庄102国道搭顺车者和车主都失踪了”、“启东归划上海，崇明区将撤销”是4月转发最多的10大谣言。</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在一个误导性或虚假信息能在瞬间复制成千上万条、网络自净正变得越来越困难的世界里，全球各国政府都在试图让法律的触角延伸至网上。目前的主要手段仍是向平台方施压，加强审核力度。在美国，Facebook仍在承受来自监管方的重重压力，在中国，今日头条等网络信息平台纷纷增加了审核人员。</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除此之外，政府报告还表扬了微信与警方合作，打击网络诈骗和犯罪活动的努力，据报告，微信协助了警方对3800名非法获取个人信息嫌犯的逮捕。</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虽然在反虚假信息上功勋卓著，但是报告强调，腾讯仍有一些方面存在很大问题，例如老生常谈的信息安全。在一项调查中，53%的受访者认为，在微信平台上操作存在数据泄露的风险，腾讯在信息安全方面做得非常平庸。今年1月，吉利董事长李书福公开抨击了微信，认为其侵犯了用户隐私。</w:t>
      </w:r>
    </w:p>
    <w:p>
      <w:pPr>
        <w:ind w:left="0" w:leftChars="0" w:firstLine="420" w:firstLineChars="150"/>
        <w:jc w:val="left"/>
      </w:pPr>
      <w:r>
        <w:rPr>
          <w:rFonts w:hint="eastAsia" w:ascii="仿宋_GB2312" w:eastAsia="仿宋_GB2312"/>
          <w:sz w:val="28"/>
          <w:szCs w:val="28"/>
          <w:shd w:val="clear" w:color="auto" w:fill="FFFFFF"/>
        </w:rPr>
        <w:t>腾讯方面则回应称，微信不留存任何用户的聊天记录，聊天内容只存储在用户的手机、电脑等终端设备上，也不会将用户的任何聊天内容用于大数据分析。</w:t>
      </w:r>
    </w:p>
    <w:p>
      <w:pPr>
        <w:numPr>
          <w:ilvl w:val="0"/>
          <w:numId w:val="0"/>
        </w:numPr>
        <w:outlineLvl w:val="1"/>
        <w:rPr>
          <w:rFonts w:hint="eastAsia" w:ascii="仿宋_GB2312" w:eastAsia="仿宋_GB2312" w:cs="宋体" w:hAnsiTheme="minorEastAsia"/>
          <w:b/>
          <w:color w:val="auto"/>
          <w:kern w:val="0"/>
          <w:sz w:val="28"/>
          <w:szCs w:val="28"/>
          <w:shd w:val="clear" w:color="auto" w:fill="FFFFFF"/>
        </w:rPr>
      </w:pPr>
      <w:bookmarkStart w:id="10" w:name="_Toc19854"/>
      <w:r>
        <w:rPr>
          <w:rFonts w:hint="eastAsia" w:ascii="仿宋_GB2312" w:eastAsia="仿宋_GB2312" w:cs="宋体" w:hAnsiTheme="minorEastAsia"/>
          <w:b/>
          <w:color w:val="auto"/>
          <w:kern w:val="0"/>
          <w:sz w:val="28"/>
          <w:szCs w:val="28"/>
          <w:shd w:val="clear" w:color="auto" w:fill="FFFFFF"/>
          <w:lang w:eastAsia="zh-CN"/>
        </w:rPr>
        <w:t>（三）</w:t>
      </w:r>
      <w:r>
        <w:rPr>
          <w:rFonts w:hint="eastAsia" w:ascii="仿宋_GB2312" w:eastAsia="仿宋_GB2312" w:cs="宋体" w:hAnsiTheme="minorEastAsia"/>
          <w:b/>
          <w:color w:val="auto"/>
          <w:kern w:val="0"/>
          <w:sz w:val="28"/>
          <w:szCs w:val="28"/>
          <w:shd w:val="clear" w:color="auto" w:fill="FFFFFF"/>
        </w:rPr>
        <w:t>条款看得清 使用软件才安心 保护个人信息安全</w:t>
      </w:r>
      <w:bookmarkEnd w:id="10"/>
    </w:p>
    <w:p>
      <w:pPr>
        <w:numPr>
          <w:ilvl w:val="0"/>
          <w:numId w:val="0"/>
        </w:numPr>
        <w:rPr>
          <w:rFonts w:ascii="仿宋_GB2312" w:eastAsia="仿宋_GB2312" w:cs="宋体" w:hAnsiTheme="minorEastAsia"/>
          <w:b/>
          <w:color w:val="auto"/>
          <w:kern w:val="0"/>
          <w:sz w:val="28"/>
          <w:szCs w:val="28"/>
          <w:shd w:val="clear" w:color="auto" w:fill="FFFFFF"/>
        </w:rPr>
      </w:pPr>
      <w:r>
        <w:rPr>
          <w:rFonts w:hint="eastAsia" w:ascii="仿宋_GB2312" w:eastAsia="仿宋_GB2312" w:cs="宋体" w:hAnsiTheme="minorEastAsia"/>
          <w:b/>
          <w:color w:val="auto"/>
          <w:kern w:val="0"/>
          <w:sz w:val="28"/>
          <w:szCs w:val="28"/>
          <w:shd w:val="clear" w:color="auto" w:fill="FFFFFF"/>
        </w:rPr>
        <w:t>来源：</w:t>
      </w:r>
      <w:r>
        <w:rPr>
          <w:rFonts w:hint="eastAsia" w:ascii="仿宋_GB2312" w:eastAsia="仿宋_GB2312" w:cs="宋体" w:hAnsiTheme="minorEastAsia"/>
          <w:b/>
          <w:color w:val="auto"/>
          <w:kern w:val="0"/>
          <w:sz w:val="28"/>
          <w:szCs w:val="28"/>
          <w:shd w:val="clear" w:color="auto" w:fill="FFFFFF"/>
          <w:lang w:eastAsia="zh-CN"/>
        </w:rPr>
        <w:t>人民日报海外版</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当安装一款软件时，总会跳出用户协议、隐私协议等条款，动辄几千字，而且往往不勾选“同意”或“我已阅读”等知情同意选项，便无法继续使用这款软件。移动互联网时代，你一定也遇到过这样的情况。</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为了方便省事，一般人会直接选择“同意”。殊不知，这背后隐藏着巨大的安全风险。专家建议，用户应注意查看软件使用法律条款，保护个人信息安全。</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年龄在18岁到34岁之间的消费者，有97%都承认他们在同意条款之前不会阅读具体条款内容。</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这是德勤《2017年全球移动消费者调查》显示的结果。调查还发现，91%的用户在安装程序、注册无线网络热点、接受更新、登录视频流等在线服务前会看都不看就同意有关条款。</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北京市消费者协会发布的一项调查也显示，有79.23%的人认为手机软件上的个人信息不安全，但只有6.15%的人在安装或使用手机软件之前会看授权须知，41.16%的人在安装或使用手机软件之前从来不看授权须知。</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确实，网络条款一般涉及大量法律术语，措辞复杂，长句偏多，许多用户直呼“太长”“看不懂”，这导致不看条款成为大多数人的习惯。</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另一方面，一些软件设置成不同意用户协议就无法使用该软件，有的还存在默认勾选情况，让用户在“人为刀俎，我为鱼肉”的情况下，只能无奈选择直接同意软件的相关条款。</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然而，根据工信部公开的软件黑名单，很多软件存在恶意扣费、信息窃取、远程控制、资费消耗、系统破坏等恶意行为，用户的隐私安全受到威胁。如今，个人信息遭泄露等案例屡见不鲜，如果对网络条款不加分辨，很可能为流氓软件窃取个人信息打开方便之门。</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那么，使用软件前或过程中出现的条款到底说了什么呢?不同类型的软件可能会因业务、对象等而设置有所差别的用户协议，但大多会包括使用条款和隐私政策两大内容。</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使用条款主要是告诉用户，软件应该如何使用，遵循何种规则，用户的权利和义务等;而隐私政策则包括软件会使用用户哪些信息，又将如何尊重和保护个人隐私信息等。因此，网络条款里的隐私政策和免责条款可以说是必看重点。</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以“腾讯微信使用条款和隐私政策”为例，这份《服务协议》全文共4000余字，包括使用规则、隐私保护、腾讯微信商标信息、法律责任及免责和其他条款五个部分。其中隐私政策和商标声明两处设置了超链接，需要用户前往新的网址查看更加全面的内容。在隐私保护部分，用户个人隐私信息和非个人隐私信息明确列出，何种情况会向第三方公开也作了说明。</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北京市亿达(上海)律师事务所律师董毅智在接受记者采访时表示，软件运营者和互联网企业制定的用户协议，是企业单方事先制定的，没有经过与用户协商的过程，因此在法律上属于格式条款。而这种平台利用其优势地位确定的格式条款，效力待定，需要看具体平台和合同条款。</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合同法》对于格式条款的效力作出规定，若提供格式条款一方免除其责任、加重对方责任、排除对方主要权利的，条款无效。《网络交易管理办法》第十七条也对此作出相关规定：网络商品经营者、有关服务经营者在经营活动中使用合同格式条款的，应当符合法律、法规、规章的规定，按照公平原则确定交易双方的权利与义务，采用显著的方式提请消费者注意与消费者有重大利害关系的条款，并按照消费者的要求予以说明。这说明，即使是格式条款，只要权责公平，没有违背相关法律，做到了明示消费者，就具备法律效力。</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知乎认证用户、浙江腾智律师事务所律师“律匠Matt”对一个相关提问的回答也印证了这一点。他同时指出，消费者需要考虑到自己的注意义务，“大家都不关注并不代表你在注册时可以不阅读”。</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通过仔细阅读用户协议，一方面可以明确用户及软件方的权责，在隐私受到侵犯时直接拒绝;另一方面可以明确潜在风险，若不得不使用该软件，也便于后续使用中遇到不确定情况时留存证据。</w:t>
      </w:r>
    </w:p>
    <w:p>
      <w:pPr>
        <w:ind w:left="0" w:leftChars="0" w:firstLine="420" w:firstLineChars="150"/>
        <w:jc w:val="left"/>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董毅智表示，消费者要注意自我保护，一是用户要有自己的判断力，对软件的用户条款或提示信息都要仔细阅读，不能直接接受;二是要保留证据以便受到侵害时通过相关渠道投诉。</w:t>
      </w:r>
    </w:p>
    <w:p>
      <w:pPr>
        <w:pStyle w:val="4"/>
        <w:numPr>
          <w:ilvl w:val="2"/>
          <w:numId w:val="0"/>
        </w:numPr>
        <w:tabs>
          <w:tab w:val="left" w:pos="540"/>
          <w:tab w:val="left" w:pos="3045"/>
          <w:tab w:val="left" w:pos="3402"/>
          <w:tab w:val="center" w:pos="4275"/>
          <w:tab w:val="clear" w:pos="1008"/>
        </w:tabs>
        <w:ind w:left="0" w:leftChars="0" w:right="149" w:rightChars="71" w:firstLine="2" w:firstLineChars="0"/>
        <w:jc w:val="left"/>
        <w:outlineLvl w:val="2"/>
        <w:rPr>
          <w:rFonts w:hint="eastAsia" w:ascii="仿宋" w:hAnsi="仿宋" w:eastAsia="仿宋" w:cs="仿宋"/>
          <w:b/>
          <w:bCs/>
          <w:sz w:val="28"/>
          <w:szCs w:val="28"/>
        </w:rPr>
      </w:pPr>
    </w:p>
    <w:p>
      <w:pPr>
        <w:pStyle w:val="3"/>
        <w:numPr>
          <w:ilvl w:val="2"/>
          <w:numId w:val="0"/>
        </w:numPr>
        <w:ind w:left="0" w:leftChars="0" w:right="149" w:rightChars="71" w:firstLine="2" w:firstLineChars="0"/>
        <w:jc w:val="left"/>
        <w:outlineLvl w:val="1"/>
        <w:rPr>
          <w:rFonts w:hint="eastAsia" w:ascii="仿宋" w:hAnsi="仿宋" w:eastAsia="仿宋" w:cs="仿宋"/>
          <w:b/>
          <w:bCs/>
          <w:sz w:val="28"/>
          <w:szCs w:val="28"/>
        </w:rPr>
      </w:pPr>
      <w:bookmarkStart w:id="11" w:name="_Toc25416"/>
      <w:r>
        <w:rPr>
          <w:rFonts w:hint="eastAsia" w:ascii="仿宋" w:hAnsi="仿宋" w:eastAsia="仿宋" w:cs="仿宋"/>
          <w:b/>
          <w:bCs/>
          <w:sz w:val="28"/>
          <w:szCs w:val="28"/>
        </w:rPr>
        <w:t>（四） 国双正式通过ISO27001:2013信息安全管理体系认证</w:t>
      </w:r>
      <w:bookmarkEnd w:id="11"/>
    </w:p>
    <w:p>
      <w:pPr>
        <w:ind w:firstLine="141" w:firstLineChars="50"/>
        <w:rPr>
          <w:rFonts w:ascii="仿宋_GB2312" w:eastAsia="仿宋_GB2312" w:cs="宋体" w:hAnsiTheme="minorEastAsia"/>
          <w:b/>
          <w:color w:val="auto"/>
          <w:kern w:val="0"/>
          <w:sz w:val="28"/>
          <w:szCs w:val="28"/>
          <w:shd w:val="clear" w:color="auto" w:fill="FFFFFF"/>
        </w:rPr>
      </w:pPr>
      <w:r>
        <w:rPr>
          <w:rFonts w:hint="eastAsia" w:ascii="仿宋_GB2312" w:eastAsia="仿宋_GB2312" w:cs="宋体" w:hAnsiTheme="minorEastAsia"/>
          <w:b/>
          <w:color w:val="auto"/>
          <w:kern w:val="0"/>
          <w:sz w:val="28"/>
          <w:szCs w:val="28"/>
          <w:shd w:val="clear" w:color="auto" w:fill="FFFFFF"/>
        </w:rPr>
        <w:t>来源：</w:t>
      </w:r>
      <w:r>
        <w:rPr>
          <w:rFonts w:hint="eastAsia" w:ascii="仿宋_GB2312" w:eastAsia="仿宋_GB2312" w:cs="宋体" w:hAnsiTheme="minorEastAsia"/>
          <w:b/>
          <w:color w:val="auto"/>
          <w:kern w:val="0"/>
          <w:sz w:val="28"/>
          <w:szCs w:val="28"/>
          <w:shd w:val="clear" w:color="auto" w:fill="FFFFFF"/>
          <w:lang w:eastAsia="zh-CN"/>
        </w:rPr>
        <w:t>凤凰网</w:t>
      </w:r>
      <w:r>
        <w:rPr>
          <w:rFonts w:ascii="仿宋_GB2312" w:eastAsia="仿宋_GB2312" w:cs="宋体" w:hAnsiTheme="minorEastAsia"/>
          <w:b/>
          <w:color w:val="auto"/>
          <w:kern w:val="0"/>
          <w:sz w:val="28"/>
          <w:szCs w:val="28"/>
          <w:shd w:val="clear" w:color="auto" w:fill="FFFFFF"/>
        </w:rPr>
        <w:t xml:space="preserve"> </w:t>
      </w:r>
    </w:p>
    <w:p>
      <w:pPr>
        <w:ind w:left="0" w:leftChars="0" w:firstLine="420" w:firstLineChars="150"/>
        <w:jc w:val="left"/>
        <w:rPr>
          <w:rFonts w:hint="eastAsia" w:ascii="仿宋_GB2312" w:eastAsia="仿宋_GB2312" w:cs="宋体"/>
          <w:sz w:val="28"/>
          <w:szCs w:val="28"/>
        </w:rPr>
      </w:pPr>
      <w:r>
        <w:rPr>
          <w:rFonts w:hint="eastAsia" w:ascii="仿宋_GB2312" w:eastAsia="仿宋_GB2312" w:cs="宋体"/>
          <w:sz w:val="28"/>
          <w:szCs w:val="28"/>
        </w:rPr>
        <w:t>历时将近8个月，自上而下全体总动员，国双于2018年4月23日正式通过ISO27001:2013信息安全管理体系认证，这标志着国双信息安全管理过程愈加规范，在物理安全、网络安全、设备安全、信息系统安全、人员安全管理方面均达到了国际化水平。</w:t>
      </w:r>
    </w:p>
    <w:p>
      <w:pPr>
        <w:ind w:left="0" w:leftChars="0" w:firstLine="420" w:firstLineChars="150"/>
        <w:jc w:val="left"/>
        <w:rPr>
          <w:rFonts w:hint="eastAsia" w:ascii="仿宋_GB2312" w:eastAsia="仿宋_GB2312" w:cs="宋体"/>
          <w:sz w:val="28"/>
          <w:szCs w:val="28"/>
        </w:rPr>
      </w:pPr>
      <w:r>
        <w:rPr>
          <w:rFonts w:hint="eastAsia" w:ascii="仿宋_GB2312" w:eastAsia="仿宋_GB2312" w:cs="宋体"/>
          <w:sz w:val="28"/>
          <w:szCs w:val="28"/>
        </w:rPr>
        <w:t>ISO27001是国际上针对信息安全的权威认证标准，由英国标准协会（BSI）倡导制定。企业通过认证将可以向其客户、竞争对手、供应商、员工和投资方展示其在同行内的信息安全管理优势。此外，通过定期的监督审核将确保组织的信息系统处于长期监控且不断优化的状态，作为增强信息安全性的依据 ,使客户及利益相关方感受到企业对信息安全的承诺。</w:t>
      </w:r>
    </w:p>
    <w:p>
      <w:pPr>
        <w:ind w:left="0" w:leftChars="0" w:firstLine="420" w:firstLineChars="150"/>
        <w:jc w:val="left"/>
        <w:rPr>
          <w:rFonts w:hint="eastAsia" w:ascii="仿宋_GB2312" w:eastAsia="仿宋_GB2312" w:cs="宋体"/>
          <w:sz w:val="28"/>
          <w:szCs w:val="28"/>
        </w:rPr>
      </w:pPr>
      <w:r>
        <w:rPr>
          <w:rFonts w:hint="eastAsia" w:ascii="仿宋_GB2312" w:eastAsia="仿宋_GB2312" w:cs="宋体"/>
          <w:sz w:val="28"/>
          <w:szCs w:val="28"/>
        </w:rPr>
        <w:t>4月24日，中国工业和信息化部副部长陈肇雄就曾在全国信息化和软件服务业工作座谈会上表示，中国工业信息安全面临“内忧外患”的严峻形势，国内工业领域已成为黑客攻击的主要目标。可见信息安全不仅是公司管理的重要环节，更是国家高度重视的关键议题。截至2018年3月底，国双拥有软件著作权100+件、注册商标200+件，并且累计提交专利申请超过2200件，其中涉及大数据和人工智能的专利申请各达580+和220+件。因此，如何保证客户信息安全，预防关键信息泄漏和数据诈骗等风险，显得尤为重要。</w:t>
      </w:r>
    </w:p>
    <w:p>
      <w:pPr>
        <w:ind w:left="0" w:leftChars="0" w:firstLine="420" w:firstLineChars="150"/>
        <w:jc w:val="left"/>
        <w:rPr>
          <w:rFonts w:hint="eastAsia" w:ascii="仿宋_GB2312" w:eastAsia="仿宋_GB2312" w:cs="宋体"/>
          <w:sz w:val="28"/>
          <w:szCs w:val="28"/>
        </w:rPr>
      </w:pPr>
    </w:p>
    <w:p>
      <w:pPr>
        <w:ind w:left="0" w:leftChars="0" w:firstLine="0" w:firstLineChars="0"/>
        <w:jc w:val="left"/>
        <w:rPr>
          <w:rFonts w:hint="eastAsia" w:ascii="仿宋_GB2312" w:eastAsia="仿宋_GB2312" w:cs="宋体"/>
          <w:sz w:val="28"/>
          <w:szCs w:val="28"/>
          <w:lang w:eastAsia="zh-CN"/>
        </w:rPr>
      </w:pPr>
      <w:r>
        <w:rPr>
          <w:rFonts w:hint="eastAsia" w:ascii="仿宋_GB2312" w:eastAsia="仿宋_GB2312" w:cs="宋体"/>
          <w:sz w:val="28"/>
          <w:szCs w:val="28"/>
          <w:lang w:eastAsia="zh-CN"/>
        </w:rPr>
        <w:drawing>
          <wp:inline distT="0" distB="0" distL="114300" distR="114300">
            <wp:extent cx="5427345" cy="4068445"/>
            <wp:effectExtent l="0" t="0" r="1905" b="8255"/>
            <wp:docPr id="18" name="图片 1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2"/>
                    <pic:cNvPicPr>
                      <a:picLocks noChangeAspect="1"/>
                    </pic:cNvPicPr>
                  </pic:nvPicPr>
                  <pic:blipFill>
                    <a:blip r:embed="rId12"/>
                    <a:stretch>
                      <a:fillRect/>
                    </a:stretch>
                  </pic:blipFill>
                  <pic:spPr>
                    <a:xfrm>
                      <a:off x="0" y="0"/>
                      <a:ext cx="5427345" cy="4068445"/>
                    </a:xfrm>
                    <a:prstGeom prst="rect">
                      <a:avLst/>
                    </a:prstGeom>
                  </pic:spPr>
                </pic:pic>
              </a:graphicData>
            </a:graphic>
          </wp:inline>
        </w:drawing>
      </w:r>
    </w:p>
    <w:p>
      <w:pPr>
        <w:ind w:left="0" w:leftChars="0" w:firstLine="0" w:firstLineChars="0"/>
        <w:jc w:val="center"/>
        <w:rPr>
          <w:rFonts w:hint="eastAsia" w:ascii="仿宋" w:hAnsi="仿宋" w:eastAsia="仿宋" w:cs="仿宋"/>
          <w:sz w:val="24"/>
          <w:szCs w:val="24"/>
        </w:rPr>
      </w:pPr>
      <w:r>
        <w:rPr>
          <w:rFonts w:hint="eastAsia" w:ascii="仿宋" w:hAnsi="仿宋" w:eastAsia="仿宋" w:cs="仿宋"/>
          <w:sz w:val="24"/>
          <w:szCs w:val="24"/>
        </w:rPr>
        <w:t>国双COO于国发、CTO刘激扬及各部门负责人出席ISO27001启动大会</w:t>
      </w:r>
    </w:p>
    <w:p>
      <w:pPr>
        <w:ind w:left="0" w:leftChars="0" w:firstLine="420" w:firstLineChars="150"/>
        <w:jc w:val="left"/>
        <w:rPr>
          <w:rFonts w:hint="eastAsia" w:ascii="仿宋_GB2312" w:eastAsia="仿宋_GB2312" w:cs="宋体"/>
          <w:sz w:val="28"/>
          <w:szCs w:val="28"/>
        </w:rPr>
      </w:pPr>
    </w:p>
    <w:p>
      <w:pPr>
        <w:ind w:left="0" w:leftChars="0" w:firstLine="420" w:firstLineChars="150"/>
        <w:jc w:val="left"/>
        <w:rPr>
          <w:rFonts w:hint="eastAsia" w:ascii="仿宋_GB2312" w:eastAsia="仿宋_GB2312" w:cs="宋体"/>
          <w:sz w:val="28"/>
          <w:szCs w:val="28"/>
        </w:rPr>
      </w:pPr>
      <w:r>
        <w:rPr>
          <w:rFonts w:hint="eastAsia" w:ascii="仿宋_GB2312" w:eastAsia="仿宋_GB2312" w:cs="宋体"/>
          <w:sz w:val="28"/>
          <w:szCs w:val="28"/>
        </w:rPr>
        <w:t>一直以来，国双对信息安全管理都采取高标准、严要求，公司领导及各部门负责人高度重视。从去年9月份开始，公司各部门便依据“信息安全、人人有责、积极预防、控制风险”的信息安全方针，有步骤有计划地进行标准学习、培训、建立体系，进行内审、管理评审。针对在审核中发现的不符合项，公司领导要求相关责任部门积极整改，将日常信息安全管理活动与标准有机融合，为公司各项业务开展提供坚实的安全保障。截至目前，国双已按照GB/T 22080-2016/ISO/IEC 27001:2013规范建立了信息安全管理体系，重点加强对软件开发及运维、系统集成、咨询服务等业务范围的信息安全管理。值得一提的是，外审组专家在审核过程中，对国双的安全团队给予了高度的评价：“国双针对信息安全事件的管理从发生到关闭，特别符合PDCA(计划、执行，检查，改进)流程，其规范和完整度堪称完美。”</w:t>
      </w:r>
    </w:p>
    <w:p>
      <w:pPr>
        <w:ind w:left="0" w:leftChars="0" w:firstLine="420" w:firstLineChars="150"/>
        <w:jc w:val="left"/>
        <w:rPr>
          <w:rFonts w:ascii="仿宋_GB2312" w:eastAsia="仿宋_GB2312" w:cs="宋体"/>
          <w:sz w:val="28"/>
          <w:szCs w:val="28"/>
        </w:rPr>
      </w:pPr>
      <w:r>
        <w:rPr>
          <w:rFonts w:hint="eastAsia" w:ascii="仿宋_GB2312" w:eastAsia="仿宋_GB2312" w:cs="宋体"/>
          <w:sz w:val="28"/>
          <w:szCs w:val="28"/>
        </w:rPr>
        <w:t>随着技术的变革和社会环境的更替，网络信息安全也将面临新的挑战，信息安全之路道阻且长。此次通过ISO27001:2013信息安全管理体系认证只是国双推进信息安全管理的一大突破，国双将在动态的环境中不断探索和优化，积极履行维护客户信息安全的责任，并将信息安全维护和管理真正内化到企业沟通、技术和运营的方方面面!</w:t>
      </w: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spacing w:line="240" w:lineRule="auto"/>
        <w:ind w:left="16" w:leftChars="0" w:right="149" w:rightChars="71" w:hanging="16" w:hangingChars="6"/>
        <w:jc w:val="center"/>
        <w:rPr>
          <w:rFonts w:ascii="仿宋_GB2312" w:eastAsia="仿宋_GB2312" w:cs="宋体"/>
          <w:sz w:val="28"/>
          <w:szCs w:val="28"/>
        </w:rPr>
      </w:pPr>
      <w:r>
        <w:rPr>
          <w:rFonts w:ascii="仿宋_GB2312" w:eastAsia="仿宋_GB2312" w:cs="宋体"/>
          <w:sz w:val="28"/>
          <w:szCs w:val="28"/>
        </w:rPr>
        <w:drawing>
          <wp:anchor distT="0" distB="0" distL="114300" distR="114300" simplePos="0" relativeHeight="251650048" behindDoc="1" locked="0" layoutInCell="1" allowOverlap="1">
            <wp:simplePos x="0" y="0"/>
            <wp:positionH relativeFrom="column">
              <wp:posOffset>-1150620</wp:posOffset>
            </wp:positionH>
            <wp:positionV relativeFrom="paragraph">
              <wp:posOffset>-891540</wp:posOffset>
            </wp:positionV>
            <wp:extent cx="8115300" cy="12954000"/>
            <wp:effectExtent l="19050" t="0" r="0" b="0"/>
            <wp:wrapNone/>
            <wp:docPr id="536"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36" descr="0072"/>
                    <pic:cNvPicPr>
                      <a:picLocks noChangeAspect="1" noChangeArrowheads="1"/>
                    </pic:cNvPicPr>
                  </pic:nvPicPr>
                  <pic:blipFill>
                    <a:blip r:embed="rId10"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pPr>
        <w:spacing w:line="240" w:lineRule="auto"/>
        <w:ind w:left="16" w:leftChars="0" w:right="149" w:rightChars="71" w:hanging="16" w:hangingChars="6"/>
        <w:jc w:val="center"/>
        <w:rPr>
          <w:rFonts w:ascii="仿宋_GB2312" w:eastAsia="仿宋_GB2312" w:cs="宋体"/>
          <w:sz w:val="28"/>
          <w:szCs w:val="28"/>
        </w:rPr>
      </w:pPr>
    </w:p>
    <w:p>
      <w:pPr>
        <w:spacing w:line="240" w:lineRule="auto"/>
        <w:ind w:left="51" w:leftChars="0" w:right="149" w:rightChars="71" w:hanging="51" w:hangingChars="6"/>
        <w:jc w:val="center"/>
        <w:rPr>
          <w:rFonts w:hint="eastAsia" w:ascii="仿宋_GB2312" w:eastAsia="仿宋_GB2312"/>
          <w:b/>
          <w:bCs w:val="0"/>
          <w:outline/>
          <w:color w:val="0000FF"/>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240" w:lineRule="auto"/>
        <w:ind w:left="51" w:leftChars="0" w:right="149" w:rightChars="71" w:hanging="51" w:hangingChars="6"/>
        <w:jc w:val="center"/>
        <w:rPr>
          <w:rFonts w:hint="eastAsia" w:ascii="仿宋_GB2312" w:eastAsia="仿宋_GB2312"/>
          <w:b/>
          <w:bCs w:val="0"/>
          <w:outline/>
          <w:color w:val="0000FF"/>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12" w:name="_Toc20791"/>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第二部分</w:t>
      </w:r>
      <w:bookmarkEnd w:id="12"/>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ascii="仿宋_GB2312" w:eastAsia="仿宋_GB2312"/>
          <w:b/>
          <w:bCs w:val="0"/>
          <w:outline/>
          <w:color w:val="0000FF"/>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13" w:name="_Toc25801"/>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【政府之声】</w:t>
      </w:r>
      <w:bookmarkEnd w:id="13"/>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294"/>
        <w:jc w:val="center"/>
        <w:rPr>
          <w:rFonts w:ascii="仿宋_GB2312" w:eastAsia="仿宋_GB2312" w:cs="宋体"/>
          <w:sz w:val="28"/>
          <w:szCs w:val="28"/>
        </w:rPr>
      </w:pPr>
    </w:p>
    <w:p>
      <w:pPr>
        <w:ind w:left="120" w:firstLine="294"/>
        <w:jc w:val="center"/>
        <w:rPr>
          <w:rFonts w:ascii="仿宋_GB2312" w:eastAsia="仿宋_GB2312" w:cs="宋体"/>
          <w:sz w:val="28"/>
          <w:szCs w:val="28"/>
        </w:rPr>
      </w:pPr>
    </w:p>
    <w:p>
      <w:pPr>
        <w:ind w:left="120" w:firstLine="294"/>
        <w:jc w:val="left"/>
        <w:rPr>
          <w:rFonts w:ascii="仿宋_GB2312" w:eastAsia="仿宋_GB2312" w:cs="宋体"/>
          <w:sz w:val="28"/>
          <w:szCs w:val="28"/>
        </w:rPr>
      </w:pPr>
    </w:p>
    <w:p>
      <w:pPr>
        <w:ind w:left="120" w:firstLine="294"/>
        <w:jc w:val="left"/>
        <w:rPr>
          <w:rFonts w:ascii="仿宋_GB2312" w:eastAsia="仿宋_GB2312" w:cs="宋体"/>
          <w:sz w:val="28"/>
          <w:szCs w:val="28"/>
        </w:rPr>
      </w:pPr>
    </w:p>
    <w:bookmarkEnd w:id="6"/>
    <w:bookmarkEnd w:id="7"/>
    <w:bookmarkEnd w:id="8"/>
    <w:p>
      <w:pPr>
        <w:numPr>
          <w:numId w:val="0"/>
        </w:numPr>
        <w:ind w:right="149" w:rightChars="71"/>
        <w:outlineLvl w:val="1"/>
        <w:rPr>
          <w:rFonts w:hint="eastAsia" w:ascii="仿宋" w:hAnsi="仿宋" w:eastAsia="仿宋" w:cs="仿宋"/>
          <w:b/>
          <w:bCs/>
          <w:color w:val="000000" w:themeColor="text1"/>
          <w:sz w:val="28"/>
          <w:szCs w:val="28"/>
          <w14:textFill>
            <w14:solidFill>
              <w14:schemeClr w14:val="tx1"/>
            </w14:solidFill>
          </w14:textFill>
        </w:rPr>
      </w:pPr>
      <w:bookmarkStart w:id="14" w:name="_Toc4580"/>
      <w:bookmarkStart w:id="15" w:name="_Toc396134244"/>
      <w:r>
        <w:rPr>
          <w:rFonts w:hint="eastAsia" w:ascii="仿宋" w:hAnsi="仿宋" w:eastAsia="仿宋" w:cs="仿宋"/>
          <w:b/>
          <w:bCs/>
          <w:color w:val="000000" w:themeColor="text1"/>
          <w:sz w:val="28"/>
          <w:szCs w:val="28"/>
          <w:lang w:eastAsia="zh-CN"/>
          <w14:textFill>
            <w14:solidFill>
              <w14:schemeClr w14:val="tx1"/>
            </w14:solidFill>
          </w14:textFill>
        </w:rPr>
        <w:t>（一）</w:t>
      </w:r>
      <w:r>
        <w:rPr>
          <w:rFonts w:hint="eastAsia" w:ascii="仿宋" w:hAnsi="仿宋" w:eastAsia="仿宋" w:cs="仿宋"/>
          <w:b/>
          <w:bCs/>
          <w:color w:val="000000" w:themeColor="text1"/>
          <w:sz w:val="28"/>
          <w:szCs w:val="28"/>
          <w14:textFill>
            <w14:solidFill>
              <w14:schemeClr w14:val="tx1"/>
            </w14:solidFill>
          </w14:textFill>
        </w:rPr>
        <w:t>崇州市经济科技和信息化局网络与信息安全事件应急预案</w:t>
      </w:r>
      <w:bookmarkEnd w:id="14"/>
    </w:p>
    <w:p>
      <w:pPr>
        <w:widowControl w:val="0"/>
        <w:numPr>
          <w:numId w:val="0"/>
        </w:numPr>
        <w:spacing w:line="240" w:lineRule="atLeast"/>
        <w:ind w:right="149" w:rightChars="71"/>
        <w:jc w:val="both"/>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来源：成都市人民政府门户网站</w:t>
      </w:r>
    </w:p>
    <w:bookmarkEnd w:id="15"/>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1.1编制目的</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建立健全工业系统预警体系，形成统一指挥、功能齐全、反应灵敏、运转高效的应急机制，有效预防，正确、快速地处理各类突发事故，保障工业经济正常运行，保护公众的生命和财产安全，维护社会稳定。</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1.2编制依据</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《中华人民共和国突发事件应对法》、《四川省人民政府关于实施四川省突发公共事件总体应急预案的决定》、《崇州市突发公共事件总体应急预案》和相关法律、行政法规。</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1.3工作原则</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1.3.1以人为本，社会参与。把保障人民群众的生命财产安全和身体健康作为应急工作的出发点和落脚点，最大限度的减少人员伤亡和危害；充分发挥机关、企业干部职工的力量，建立健全工业战线共同参与的突发公共事件应对长效机制。</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1.3.2统一领导，分级负责。市经信局会同市级有关部门统一领导工业领域突发事件处置工作，相关职能科室根据各自职能落实岗位责任制，指导和组织开展事故抢险、应急救援、维护稳定、恢复生产等各项应急工作。</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1.3.3点面结合，资源整合。充分利用系统资源，建立统一协调、各负其责事故应急处理体系。</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1.3.4常备不懈，注重预防。贯彻“预防为主”的方针，树立“常备不懈”的观念，做好应对突发公共事件的思想准备、预案准备、机制准备和工作准备，加强安全管理工作，强化突发公共事故的预防和控制措施，有效防止公共事件的发生。</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1.4 适应范围</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本预案适用于发生在本市行政区域内，需要由市经济和信息化局负责处置的各类工业突发事件的应对工作。</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1.5应急预案体系</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1）市经济和信息化局工业突发事件总体应急预案。工业突发事件总体应急预案是全市工业突发事件预案体系的总纲，是市经济和信息化局应对工业突发公共事件而制定的规范性文件，由市经济和信息化局负责制定，报市政府法制局、应急办备案。</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2）市经济和信息化局专项应急预案。专项应急预案是市经济和信息化局及其有关部门为应对某一类型或几种类型突发公共事件而制定的涉及数个部门的应急预案，由市经济和信息化局制订或会同有关部门制订和实施。根据市经济和信息化局工作职能和工作需要，市工业专项应急预案包括电力应急预案、通讯保障应急预案、地震应急预案、工业安全生应急产预案和信访突出问题及群体性上访事件应急预案等五个预案。</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（3）企业专项应急预案。由有关科室或单位根据有关法律、法规制定。重点企业的突发公共事件应急预案，报市经济和信息化局备案，市经济和信息化局对重点企业应急预案执行情况实施动态管理。</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各类预案应当根据实际情况变化，由制定单位及时修订。</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2. 组织体系及职责</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2.1 应急组织机构</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成立崇州市工业突发事件应急指挥部，由市经济和信息化局党组书记、局长任指挥长，各分管副局长任副指挥长，成员由局机关各科室负责人组成。</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市工业突发事件应急指挥部下设办公室、电力应急组、地震灾害应急组、安全生产应急组、群体性上访事件应急组五个工作组。办公室设在局办公室，由办公室主任兼任主任，安全生产应急组、地震灾害应急组设在企业指导科，由科长兼任组长；电力应急组设在能源科，由科长任组长；群体性上访事件应急组设在行政办公室，由办公室主任兼任组长。</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2.2机构职责</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2.2.1市工业突发事件应急指挥部的主要职责：</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统一组织领导、指挥和协调工业重大突发事件应急处理、抢险和恢复生产工作。宣布进入和解除预警状态，实施和终止应急预案，下达应急指挥令。完成市突发公共事件应急处置工作协调委员会委托的事项。</w:t>
      </w:r>
    </w:p>
    <w:p>
      <w:pPr>
        <w:ind w:right="149" w:rightChars="71"/>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2.2.2 市工业突发事件应急指挥部办公室的主要职责：及时了解和分析较大工业突发公共事故情况，提请市工业突发事件应急指挥部决定进入和解除预警状态，实施和终止应急预案；传达和制定市突发公共事件应急处置工作协调委员会下达的应急指令；监督应急预案的执行情况；协调解决应急过程中的重大问题；负责宣传报道、信息传递，组织新闻发布会；负责组织修订和完善应急预案。</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2.2.3各应急工作组工作职责：</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负责牵头实施和修订各专项应急预案。</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3. 预测、预警</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3.1信息监测与报告</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市经济和信息化局根据机关职能，建立健全可能造成重大影响并涉及公共安全的突发事件信息收集、分析和交流制度。各职能科室通过对监测信息进行分析和研究，对可能发生的突发事件的时间、地点、范围、程度、危害及趋势作出预测，对事态比较复杂，对可能对辖区一定范围内的社会财产、人身安全、政治稳定和社会秩序造成较为严重危害和威胁的信息，应立即报市工业突发事件应急指挥部。</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3.2预警信息发布</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接到相关信息后，经市工业突发事件应急指挥部研究，根据事件性质、严重程度、可控性和影响范围等因素确定预警级别，由指挥部办公室向事发地或全市工业领域发布预警信息。预警信息包括突发公共事件的类别、可能波及范围、提醒事宜和应采取的措施。</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4.应急处置</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4.1 信息报告</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对于可能发生或已经发生的突发公共事件，要在立即采取措施控制事态的同时，及时逐级如实作出报告，不得迟报、谎报、瞒报、漏报，初次报告最迟不得超过3小时（法律、法规、规章及上级机关另有规定的，按规定办理），特别重大和重大突发公共事件实行态势变化进程报告和日报告制度。报告内容主要包括信息来源、影响范围、事件性质、事件发展趋势和应当采取的措施等。</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对于重大和特别重大的突发公共事件，市工业突发事件应急指挥部应迅速向市政府应急办报告并会同进行分析研判，作出处置决定。需要报市级领导的，要迅速报告市政府分管领导。</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4.2 先期处置</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突发公共事件发生或可能发生时，相关企业和职能科室应及时、主动、有效地进行处置，控制事态，并将事件和有关先期处置情况按规定上报市工业突发事件应急指挥部。</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4.3　应急响应</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对于较大、一般突发公共事件，由市工业突发事件应急指挥部各专项应急工作组组织相关科室负责进行先期处置，并根据事态发展情况及时启动相关应急预案。</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对于重大或特别重大突发公共事件，如果先期处置未能有效控制并需要市应急办协调处置的，根据事态发展，市工业突发事件应急指挥部应及时提出，并报经市应急办研究决定启动相关市级应急预案。</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4.4 扩大应急</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发生或即将发生重大、特别重大突发公共事件，采取一般处置措施无法控制和消除其严重危害，需要实施扩大应急行动，应立即按照有关程序向市政府报告，由市政府直接指挥，并依法采取有利于控制事态的非常措施，同时请求有关方面以及驻崇部队的支援。</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实施扩大应急时，市经济和信息化局机关、相关企业要及时增加应急处置力量，加大技术、装备、物资、资金等保障力度，加强指挥协调，努力控制事态发展。</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4.5 应急结束</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市工业突发事件应急指挥部负责处置的突发公共事件，在应急处置工作结束，或者相关危险因素消除后，指挥部应及时研判，作出应急结束决定。</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5.　善后处置</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善后处置工作由市工业突发事件应急指挥部负责协调有关部门提供必要的支持。对突发公共事件造成伤亡的人员及时进行医疗救助或按规定给予抚恤，对造成生产生活困难的群众进行妥善安置，对紧急调集、征用的人力物力按照规定给予补偿，同时做好疫病防治、环境污染消除、保险理赔、心理咨询和慰问等相关工作。</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6. 预案演练</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市工业突发事件应急指挥部办公室要按照“统一规划，分项实施，突出重点，适应需求”的原则，协同有关企业制订应急演练计划并付诸实施。有关重点企业应结合工作实际，制定专项演习方案并每年组织一次演练。通过演练，发现应急工作体系和工作机制中存在的问题，不断完善应急预案，提高对突发公共事件的应急处置能力。</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7.　附则说明</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7.1 预案管理</w:t>
      </w:r>
    </w:p>
    <w:p>
      <w:pPr>
        <w:ind w:left="0" w:leftChars="0" w:right="149" w:rightChars="71" w:firstLine="420" w:firstLineChars="15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本预案由市经济和信息化局办公室负责解释和组织实施。各工业企业按照本预案的规定履行各自职责，并制定相应预案。根据形势发展和工作需要，及时修订本预案。</w:t>
      </w:r>
    </w:p>
    <w:p>
      <w:pPr>
        <w:ind w:left="0" w:leftChars="0" w:right="149" w:rightChars="71" w:firstLine="0" w:firstLineChars="0"/>
        <w:rPr>
          <w:rFonts w:hint="eastAsia" w:ascii="仿宋" w:hAnsi="仿宋" w:eastAsia="仿宋" w:cs="仿宋"/>
          <w:b w:val="0"/>
          <w:bCs w:val="0"/>
          <w:color w:val="000000" w:themeColor="text1"/>
          <w:sz w:val="28"/>
          <w:szCs w:val="28"/>
          <w:shd w:val="clear" w:color="auto" w:fill="auto"/>
          <w14:textFill>
            <w14:solidFill>
              <w14:schemeClr w14:val="tx1"/>
            </w14:solidFill>
          </w14:textFill>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7.2 实施时间</w:t>
      </w:r>
    </w:p>
    <w:p>
      <w:pPr>
        <w:ind w:left="0" w:leftChars="0" w:right="149" w:rightChars="71" w:firstLine="420" w:firstLineChars="150"/>
        <w:rPr>
          <w:rFonts w:ascii="仿宋_GB2312" w:hAnsi="Arial" w:eastAsia="仿宋_GB2312" w:cs="Arial"/>
          <w:b w:val="0"/>
          <w:bCs w:val="0"/>
          <w:kern w:val="0"/>
          <w:sz w:val="28"/>
          <w:szCs w:val="28"/>
        </w:rPr>
      </w:pPr>
      <w:r>
        <w:rPr>
          <w:rFonts w:hint="eastAsia" w:ascii="仿宋" w:hAnsi="仿宋" w:eastAsia="仿宋" w:cs="仿宋"/>
          <w:b w:val="0"/>
          <w:bCs w:val="0"/>
          <w:color w:val="000000" w:themeColor="text1"/>
          <w:sz w:val="28"/>
          <w:szCs w:val="28"/>
          <w:shd w:val="clear" w:color="auto" w:fill="auto"/>
          <w14:textFill>
            <w14:solidFill>
              <w14:schemeClr w14:val="tx1"/>
            </w14:solidFill>
          </w14:textFill>
        </w:rPr>
        <w:t>本预案自发布之日起实施。</w:t>
      </w:r>
    </w:p>
    <w:p>
      <w:pPr>
        <w:rPr>
          <w:rFonts w:ascii="仿宋_GB2312" w:eastAsia="仿宋_GB2312" w:cs="宋体"/>
          <w:b/>
          <w:color w:val="auto"/>
          <w:spacing w:val="18"/>
          <w:kern w:val="0"/>
          <w:sz w:val="28"/>
          <w:szCs w:val="28"/>
        </w:rPr>
      </w:pPr>
    </w:p>
    <w:p>
      <w:pPr>
        <w:ind w:left="0" w:leftChars="0" w:firstLine="0" w:firstLineChars="0"/>
        <w:outlineLvl w:val="1"/>
        <w:rPr>
          <w:rFonts w:hint="eastAsia" w:ascii="仿宋" w:hAnsi="仿宋" w:eastAsia="仿宋" w:cs="仿宋"/>
          <w:b/>
          <w:bCs/>
          <w:kern w:val="2"/>
          <w:sz w:val="28"/>
          <w:szCs w:val="28"/>
          <w:shd w:val="clear" w:color="auto" w:fill="auto"/>
        </w:rPr>
      </w:pPr>
      <w:bookmarkStart w:id="16" w:name="_Toc4940"/>
      <w:r>
        <w:rPr>
          <w:rFonts w:hint="eastAsia" w:ascii="仿宋" w:hAnsi="仿宋" w:eastAsia="仿宋" w:cs="仿宋"/>
          <w:b/>
          <w:bCs/>
          <w:kern w:val="2"/>
          <w:sz w:val="28"/>
          <w:szCs w:val="28"/>
          <w:shd w:val="clear" w:color="auto" w:fill="auto"/>
        </w:rPr>
        <w:t>（</w:t>
      </w:r>
      <w:r>
        <w:rPr>
          <w:rFonts w:hint="eastAsia" w:ascii="仿宋" w:hAnsi="仿宋" w:eastAsia="仿宋" w:cs="仿宋"/>
          <w:b/>
          <w:bCs/>
          <w:kern w:val="2"/>
          <w:sz w:val="28"/>
          <w:szCs w:val="28"/>
          <w:shd w:val="clear" w:color="auto" w:fill="auto"/>
          <w:lang w:eastAsia="zh-CN"/>
        </w:rPr>
        <w:t>二</w:t>
      </w:r>
      <w:r>
        <w:rPr>
          <w:rFonts w:hint="eastAsia" w:ascii="仿宋" w:hAnsi="仿宋" w:eastAsia="仿宋" w:cs="仿宋"/>
          <w:b/>
          <w:bCs/>
          <w:kern w:val="2"/>
          <w:sz w:val="28"/>
          <w:szCs w:val="28"/>
          <w:shd w:val="clear" w:color="auto" w:fill="auto"/>
        </w:rPr>
        <w:t>）四川：474个重大项目集中开工，电子信息产业拔头筹冲万亿元目标</w:t>
      </w:r>
      <w:bookmarkEnd w:id="16"/>
    </w:p>
    <w:p>
      <w:pPr>
        <w:ind w:left="0" w:leftChars="0" w:firstLine="0" w:firstLineChars="0"/>
        <w:rPr>
          <w:rFonts w:hint="eastAsia" w:ascii="仿宋" w:hAnsi="仿宋" w:eastAsia="仿宋" w:cs="仿宋"/>
          <w:b/>
          <w:bCs/>
          <w:kern w:val="2"/>
          <w:sz w:val="28"/>
          <w:szCs w:val="28"/>
          <w:shd w:val="clear" w:color="auto" w:fill="auto"/>
        </w:rPr>
      </w:pPr>
      <w:r>
        <w:rPr>
          <w:rFonts w:hint="eastAsia" w:ascii="仿宋" w:hAnsi="仿宋" w:eastAsia="仿宋" w:cs="仿宋"/>
          <w:b/>
          <w:bCs/>
          <w:kern w:val="2"/>
          <w:sz w:val="28"/>
          <w:szCs w:val="28"/>
          <w:shd w:val="clear" w:color="auto" w:fill="auto"/>
          <w:lang w:eastAsia="zh-CN"/>
        </w:rPr>
        <w:t>来源：</w:t>
      </w:r>
      <w:r>
        <w:rPr>
          <w:rFonts w:hint="eastAsia" w:ascii="仿宋" w:hAnsi="仿宋" w:eastAsia="仿宋" w:cs="仿宋"/>
          <w:b/>
          <w:bCs/>
          <w:kern w:val="2"/>
          <w:sz w:val="28"/>
          <w:szCs w:val="28"/>
          <w:shd w:val="clear" w:color="auto" w:fill="auto"/>
        </w:rPr>
        <w:t>中国电子报</w:t>
      </w:r>
    </w:p>
    <w:p>
      <w:pPr>
        <w:ind w:left="0" w:leftChars="0" w:firstLine="420" w:firstLineChars="150"/>
        <w:rPr>
          <w:rFonts w:hint="eastAsia" w:ascii="仿宋" w:hAnsi="仿宋" w:eastAsia="仿宋" w:cs="仿宋"/>
          <w:b w:val="0"/>
          <w:bCs w:val="0"/>
          <w:kern w:val="2"/>
          <w:sz w:val="28"/>
          <w:szCs w:val="28"/>
          <w:shd w:val="clear" w:color="auto" w:fill="auto"/>
        </w:rPr>
      </w:pPr>
      <w:r>
        <w:rPr>
          <w:rFonts w:hint="eastAsia" w:ascii="仿宋" w:hAnsi="仿宋" w:eastAsia="仿宋" w:cs="仿宋"/>
          <w:b w:val="0"/>
          <w:bCs w:val="0"/>
          <w:kern w:val="2"/>
          <w:sz w:val="28"/>
          <w:szCs w:val="28"/>
          <w:shd w:val="clear" w:color="auto" w:fill="auto"/>
        </w:rPr>
        <w:t>电子信息产业在四川工业经济转型发展中正扮演着越来越重要的角色。近日，四川省2018年474个重大工业项目集中开工，其中电子信息类项目74个，属于项目数量最多的领域。此外，最新数据显示，截至2018年第一季度，四川省规模以上计算机、通信和其他电子设备制造业增加值累计增长8.6%，快于全部规模以上工业增速0.4个百分点。</w:t>
      </w:r>
    </w:p>
    <w:p>
      <w:pPr>
        <w:ind w:left="0" w:leftChars="0" w:firstLine="420" w:firstLineChars="150"/>
        <w:rPr>
          <w:rFonts w:hint="eastAsia" w:ascii="仿宋" w:hAnsi="仿宋" w:eastAsia="仿宋" w:cs="仿宋"/>
          <w:b w:val="0"/>
          <w:bCs w:val="0"/>
          <w:kern w:val="2"/>
          <w:sz w:val="28"/>
          <w:szCs w:val="28"/>
          <w:shd w:val="clear" w:color="auto" w:fill="auto"/>
        </w:rPr>
      </w:pPr>
      <w:r>
        <w:rPr>
          <w:rFonts w:hint="eastAsia" w:ascii="仿宋" w:hAnsi="仿宋" w:eastAsia="仿宋" w:cs="仿宋"/>
          <w:b w:val="0"/>
          <w:bCs w:val="0"/>
          <w:kern w:val="2"/>
          <w:sz w:val="28"/>
          <w:szCs w:val="28"/>
          <w:shd w:val="clear" w:color="auto" w:fill="auto"/>
        </w:rPr>
        <w:t>“为更好地贯彻经济向高质量发展的要求，四川省委省政府高度重视电子信息产业发展，将电子信息产业作为调结构、转方式、添动能、惠民生的重点加快发展。2017年，电子信息产业完成全年主营收入近8000亿元，产业规模居中西部第一，全国第七，预计2019年将率先突破万亿规模。”四川省经信委相关负责人在接受《中国电子报》记者采访时表示。</w:t>
      </w:r>
    </w:p>
    <w:p>
      <w:pPr>
        <w:ind w:left="0" w:leftChars="0" w:firstLine="420" w:firstLineChars="150"/>
        <w:rPr>
          <w:rFonts w:hint="eastAsia" w:ascii="仿宋" w:hAnsi="仿宋" w:eastAsia="仿宋" w:cs="仿宋"/>
          <w:b w:val="0"/>
          <w:bCs w:val="0"/>
          <w:kern w:val="2"/>
          <w:sz w:val="28"/>
          <w:szCs w:val="28"/>
          <w:shd w:val="clear" w:color="auto" w:fill="auto"/>
        </w:rPr>
      </w:pPr>
      <w:r>
        <w:rPr>
          <w:rFonts w:hint="eastAsia" w:ascii="仿宋" w:hAnsi="仿宋" w:eastAsia="仿宋" w:cs="仿宋"/>
          <w:b w:val="0"/>
          <w:bCs w:val="0"/>
          <w:kern w:val="2"/>
          <w:sz w:val="28"/>
          <w:szCs w:val="28"/>
          <w:shd w:val="clear" w:color="auto" w:fill="auto"/>
        </w:rPr>
        <w:t>推动产业延链补链强链</w:t>
      </w:r>
    </w:p>
    <w:p>
      <w:pPr>
        <w:ind w:left="0" w:leftChars="0" w:firstLine="420" w:firstLineChars="150"/>
        <w:rPr>
          <w:rFonts w:hint="eastAsia" w:ascii="仿宋" w:hAnsi="仿宋" w:eastAsia="仿宋" w:cs="仿宋"/>
          <w:b w:val="0"/>
          <w:bCs w:val="0"/>
          <w:kern w:val="2"/>
          <w:sz w:val="28"/>
          <w:szCs w:val="28"/>
          <w:shd w:val="clear" w:color="auto" w:fill="auto"/>
        </w:rPr>
      </w:pPr>
      <w:r>
        <w:rPr>
          <w:rFonts w:hint="eastAsia" w:ascii="仿宋" w:hAnsi="仿宋" w:eastAsia="仿宋" w:cs="仿宋"/>
          <w:b w:val="0"/>
          <w:bCs w:val="0"/>
          <w:kern w:val="2"/>
          <w:sz w:val="28"/>
          <w:szCs w:val="28"/>
          <w:shd w:val="clear" w:color="auto" w:fill="auto"/>
        </w:rPr>
        <w:t>记者了解到，本次电子信息类74个项目总投资539亿元，2018年计划投资131亿元，这些电子信息类项目具有技术先进、附加值高、带动性强等特征，涉及单晶硅衬底、单晶硅外延片、芯片设计、摄像头光感芯片、高能电源集成、通讯连接器、网络变压器、声学零部件、液晶显示器、智能机器人、平板电脑、智能手机等领域。</w:t>
      </w:r>
    </w:p>
    <w:p>
      <w:pPr>
        <w:ind w:left="0" w:leftChars="0" w:firstLine="420" w:firstLineChars="150"/>
        <w:rPr>
          <w:rFonts w:hint="eastAsia" w:ascii="仿宋" w:hAnsi="仿宋" w:eastAsia="仿宋" w:cs="仿宋"/>
          <w:b w:val="0"/>
          <w:bCs w:val="0"/>
          <w:kern w:val="2"/>
          <w:sz w:val="28"/>
          <w:szCs w:val="28"/>
          <w:shd w:val="clear" w:color="auto" w:fill="auto"/>
        </w:rPr>
      </w:pPr>
      <w:r>
        <w:rPr>
          <w:rFonts w:hint="eastAsia" w:ascii="仿宋" w:hAnsi="仿宋" w:eastAsia="仿宋" w:cs="仿宋"/>
          <w:b w:val="0"/>
          <w:bCs w:val="0"/>
          <w:kern w:val="2"/>
          <w:sz w:val="28"/>
          <w:szCs w:val="28"/>
          <w:shd w:val="clear" w:color="auto" w:fill="auto"/>
        </w:rPr>
        <w:t>“这些项目的落地实施将加快推动四川省电子信息产业的延链补链强链，有力支撑四川省打造万亿级电子信息产业集群，进一步推动四川省工业经济高质量发展。” 四川省经信委相关负责人强调。</w:t>
      </w:r>
    </w:p>
    <w:p>
      <w:pPr>
        <w:ind w:left="0" w:leftChars="0" w:firstLine="420" w:firstLineChars="150"/>
        <w:rPr>
          <w:rFonts w:hint="eastAsia" w:ascii="仿宋" w:hAnsi="仿宋" w:eastAsia="仿宋" w:cs="仿宋"/>
          <w:b w:val="0"/>
          <w:bCs w:val="0"/>
          <w:kern w:val="2"/>
          <w:sz w:val="28"/>
          <w:szCs w:val="28"/>
          <w:shd w:val="clear" w:color="auto" w:fill="auto"/>
        </w:rPr>
      </w:pPr>
      <w:r>
        <w:rPr>
          <w:rFonts w:hint="eastAsia" w:ascii="仿宋" w:hAnsi="仿宋" w:eastAsia="仿宋" w:cs="仿宋"/>
          <w:b w:val="0"/>
          <w:bCs w:val="0"/>
          <w:kern w:val="2"/>
          <w:sz w:val="28"/>
          <w:szCs w:val="28"/>
          <w:shd w:val="clear" w:color="auto" w:fill="auto"/>
        </w:rPr>
        <w:t>值得一提的是，在74个项目中，云南省城市建设投资集团有限公司的超硅半导体生产基地项目总投资50亿元，建成后将打破国际市场对中国硅片生产技术垄断，为格罗方德、清华紫光、德州仪器等晶圆制造企业提供高品质、大尺寸集成电路级硅片，完善四川省集成电路产业链;光联科技有限公司的中国科技城光电产业园项目总投资20亿元，其生产的CWDM尾纤光模块器件、AWG模块、光收发模块、8英寸PLC光分路器金晶圆等光通讯产品主要应用于大数据中心、通信等领域，将有效带动四川省光通讯上下游配套产业发展。</w:t>
      </w:r>
    </w:p>
    <w:p>
      <w:pPr>
        <w:ind w:left="0" w:leftChars="0" w:firstLine="420" w:firstLineChars="150"/>
        <w:rPr>
          <w:rFonts w:hint="eastAsia" w:ascii="仿宋" w:hAnsi="仿宋" w:eastAsia="仿宋" w:cs="仿宋"/>
          <w:b w:val="0"/>
          <w:bCs w:val="0"/>
          <w:kern w:val="2"/>
          <w:sz w:val="28"/>
          <w:szCs w:val="28"/>
          <w:shd w:val="clear" w:color="auto" w:fill="auto"/>
        </w:rPr>
      </w:pPr>
      <w:r>
        <w:rPr>
          <w:rFonts w:hint="eastAsia" w:ascii="仿宋" w:hAnsi="仿宋" w:eastAsia="仿宋" w:cs="仿宋"/>
          <w:b w:val="0"/>
          <w:bCs w:val="0"/>
          <w:kern w:val="2"/>
          <w:sz w:val="28"/>
          <w:szCs w:val="28"/>
          <w:shd w:val="clear" w:color="auto" w:fill="auto"/>
        </w:rPr>
        <w:t>打造全国最大动力电池产业化基地</w:t>
      </w:r>
    </w:p>
    <w:p>
      <w:pPr>
        <w:ind w:left="0" w:leftChars="0" w:firstLine="420" w:firstLineChars="150"/>
        <w:rPr>
          <w:rFonts w:hint="eastAsia" w:ascii="仿宋" w:hAnsi="仿宋" w:eastAsia="仿宋" w:cs="仿宋"/>
          <w:b w:val="0"/>
          <w:bCs w:val="0"/>
          <w:kern w:val="2"/>
          <w:sz w:val="28"/>
          <w:szCs w:val="28"/>
          <w:shd w:val="clear" w:color="auto" w:fill="auto"/>
        </w:rPr>
      </w:pPr>
      <w:r>
        <w:rPr>
          <w:rFonts w:hint="eastAsia" w:ascii="仿宋" w:hAnsi="仿宋" w:eastAsia="仿宋" w:cs="仿宋"/>
          <w:b w:val="0"/>
          <w:bCs w:val="0"/>
          <w:kern w:val="2"/>
          <w:sz w:val="28"/>
          <w:szCs w:val="28"/>
          <w:shd w:val="clear" w:color="auto" w:fill="auto"/>
        </w:rPr>
        <w:t>在本次开工仪式中，华鼎国联动力电池产业化基地项目显得格外引人瞩目。该项目在主会场开工，项目的落地将会带动动力电池产业链上下游企业在四川省集群发展，推动动力及储能电池由四川制造向四川创造转变。</w:t>
      </w:r>
    </w:p>
    <w:p>
      <w:pPr>
        <w:ind w:left="0" w:leftChars="0" w:firstLine="420" w:firstLineChars="150"/>
        <w:rPr>
          <w:rFonts w:hint="eastAsia" w:ascii="仿宋" w:hAnsi="仿宋" w:eastAsia="仿宋" w:cs="仿宋"/>
          <w:b w:val="0"/>
          <w:bCs w:val="0"/>
          <w:kern w:val="2"/>
          <w:sz w:val="28"/>
          <w:szCs w:val="28"/>
          <w:shd w:val="clear" w:color="auto" w:fill="auto"/>
        </w:rPr>
      </w:pPr>
      <w:r>
        <w:rPr>
          <w:rFonts w:hint="eastAsia" w:ascii="仿宋" w:hAnsi="仿宋" w:eastAsia="仿宋" w:cs="仿宋"/>
          <w:b w:val="0"/>
          <w:bCs w:val="0"/>
          <w:kern w:val="2"/>
          <w:sz w:val="28"/>
          <w:szCs w:val="28"/>
          <w:shd w:val="clear" w:color="auto" w:fill="auto"/>
        </w:rPr>
        <w:t>华鼎国联动力电池有限公司副总经理袁定凯告诉《中国电子报》记者，目前我国多数动力电池企业技术水平低、竞争能力弱，造成国内低端产能过剩、高端产能不足的不合理产能格局，严重阻碍了我国新能源汽车战略的实施。华鼎国联采用我国第一家国家制造业创新中心国联研究院自主研发的先进技术方案，采用NCM三元材料，单体电芯能量密度达到180-260瓦时/千克，技术国内领先。同时国联公司还在持续研发高功率和能量功率兼顾型等多种先进动力电池，有望为本项目提供源源不断的技术支持。该项目的实施将具有旗帜性的示范效果，不仅有利于四川省完善新能源汽车产业链，也有利于推动我国动力电池向先进三元动力电池发展。</w:t>
      </w:r>
    </w:p>
    <w:p>
      <w:pPr>
        <w:ind w:left="0" w:leftChars="0" w:firstLine="420" w:firstLineChars="150"/>
        <w:rPr>
          <w:rFonts w:hint="eastAsia" w:ascii="仿宋" w:hAnsi="仿宋" w:eastAsia="仿宋" w:cs="仿宋"/>
          <w:b w:val="0"/>
          <w:bCs w:val="0"/>
          <w:kern w:val="2"/>
          <w:sz w:val="28"/>
          <w:szCs w:val="28"/>
          <w:shd w:val="clear" w:color="auto" w:fill="auto"/>
        </w:rPr>
      </w:pPr>
      <w:r>
        <w:rPr>
          <w:rFonts w:hint="eastAsia" w:ascii="仿宋" w:hAnsi="仿宋" w:eastAsia="仿宋" w:cs="仿宋"/>
          <w:b w:val="0"/>
          <w:bCs w:val="0"/>
          <w:kern w:val="2"/>
          <w:sz w:val="28"/>
          <w:szCs w:val="28"/>
          <w:shd w:val="clear" w:color="auto" w:fill="auto"/>
        </w:rPr>
        <w:t>据介绍，华鼎国联项目是国家动力电池创新中心首个产业化示范项目，也是四川省重点项目。华鼎国联整个项目投资约100亿元，项目规划占地约2000亩，投资分三个阶段，将在2021年建成年产5万吨正极材料和100亿瓦时以上的动力电池的生产基地，打造全国最大的动力电池产业化基地之一，年产值约200亿元以上。动力电池能量密度将从一期的260瓦时/千克提升至350瓦时/千克，续航能力达到450公里以上。全部建成后,预计将吸纳劳动力超3千余人。第一阶段投资约20亿元，占地364亩，其中电池项目约284亩，材料项目约80亩，材料计划于今年6月竣工投运、电池计划今年底竣工投运，建成目前国内最先进的年产4000吨高性能三元正极材料和能量密度达260瓦时/千克20亿瓦时动力电池生产线，预计全部达产后年产值可以达到35亿元以上，解决当地就业近千人，具有良好的经济和社会效益。</w:t>
      </w:r>
    </w:p>
    <w:p>
      <w:pPr>
        <w:ind w:left="0" w:leftChars="0" w:firstLine="420" w:firstLineChars="150"/>
        <w:rPr>
          <w:rFonts w:hint="eastAsia" w:ascii="仿宋" w:hAnsi="仿宋" w:eastAsia="仿宋" w:cs="仿宋"/>
          <w:b w:val="0"/>
          <w:bCs w:val="0"/>
          <w:kern w:val="2"/>
          <w:sz w:val="28"/>
          <w:szCs w:val="28"/>
          <w:shd w:val="clear" w:color="auto" w:fill="auto"/>
        </w:rPr>
      </w:pPr>
      <w:r>
        <w:rPr>
          <w:rFonts w:hint="eastAsia" w:ascii="仿宋" w:hAnsi="仿宋" w:eastAsia="仿宋" w:cs="仿宋"/>
          <w:b w:val="0"/>
          <w:bCs w:val="0"/>
          <w:kern w:val="2"/>
          <w:sz w:val="28"/>
          <w:szCs w:val="28"/>
          <w:shd w:val="clear" w:color="auto" w:fill="auto"/>
        </w:rPr>
        <w:t>“十三五”总投资将超过6000亿元</w:t>
      </w:r>
    </w:p>
    <w:p>
      <w:pPr>
        <w:ind w:left="0" w:leftChars="0" w:firstLine="420" w:firstLineChars="150"/>
        <w:rPr>
          <w:rFonts w:hint="eastAsia" w:ascii="仿宋" w:hAnsi="仿宋" w:eastAsia="仿宋" w:cs="仿宋"/>
          <w:b w:val="0"/>
          <w:bCs w:val="0"/>
          <w:kern w:val="2"/>
          <w:sz w:val="28"/>
          <w:szCs w:val="28"/>
          <w:shd w:val="clear" w:color="auto" w:fill="auto"/>
        </w:rPr>
      </w:pPr>
      <w:r>
        <w:rPr>
          <w:rFonts w:hint="eastAsia" w:ascii="仿宋" w:hAnsi="仿宋" w:eastAsia="仿宋" w:cs="仿宋"/>
          <w:b w:val="0"/>
          <w:bCs w:val="0"/>
          <w:kern w:val="2"/>
          <w:sz w:val="28"/>
          <w:szCs w:val="28"/>
          <w:shd w:val="clear" w:color="auto" w:fill="auto"/>
        </w:rPr>
        <w:t>基于四川省良好的投资环境，一大批电子信息产业重大项目纷纷落地并加快建设，据统计“十三五”期间四川省电子信息产业项目总投资将超过6000亿元，其中千亿级项目2个，百亿级项目9个，这些项目全部投产后将新增产值5000亿元以上。</w:t>
      </w:r>
    </w:p>
    <w:p>
      <w:pPr>
        <w:ind w:left="0" w:leftChars="0" w:firstLine="420" w:firstLineChars="150"/>
        <w:rPr>
          <w:rFonts w:hint="eastAsia" w:ascii="仿宋" w:hAnsi="仿宋" w:eastAsia="仿宋" w:cs="仿宋"/>
          <w:b w:val="0"/>
          <w:bCs w:val="0"/>
          <w:kern w:val="2"/>
          <w:sz w:val="28"/>
          <w:szCs w:val="28"/>
          <w:shd w:val="clear" w:color="auto" w:fill="auto"/>
        </w:rPr>
      </w:pPr>
      <w:r>
        <w:rPr>
          <w:rFonts w:hint="eastAsia" w:ascii="仿宋" w:hAnsi="仿宋" w:eastAsia="仿宋" w:cs="仿宋"/>
          <w:b w:val="0"/>
          <w:bCs w:val="0"/>
          <w:kern w:val="2"/>
          <w:sz w:val="28"/>
          <w:szCs w:val="28"/>
          <w:shd w:val="clear" w:color="auto" w:fill="auto"/>
        </w:rPr>
        <w:t>在集成电路方面。一是英特尔骏马项目一期工程、海威华芯第二代、第三代半导体集成电路芯片两个重大项目投产。二是总投资2000亿元的紫光集团成都IC国际城项目、总规模达到2000亿元的中国电子集团成都芯谷项目、投资100亿美元格罗方德12英寸晶圆项目等三个重大项目签约并动工。三是展讯公司全球三大总部之一的全球研发基地项目、国家集成电路公共服务平台西南平台“核芯空间”、中科院微电子产业西南基地项目等一大批项目纷纷落地四川。四川省经信委相关负责人表示，这些项目达产后，四川将是全国领先、中西部地区最大的集成电路产业基地。</w:t>
      </w:r>
    </w:p>
    <w:p>
      <w:pPr>
        <w:ind w:left="0" w:leftChars="0" w:firstLine="420" w:firstLineChars="150"/>
        <w:rPr>
          <w:rFonts w:ascii="仿宋_GB2312" w:hAnsi="Arial" w:eastAsia="仿宋_GB2312" w:cs="Arial"/>
          <w:b w:val="0"/>
          <w:bCs w:val="0"/>
          <w:kern w:val="0"/>
          <w:sz w:val="28"/>
          <w:szCs w:val="28"/>
        </w:rPr>
      </w:pPr>
      <w:r>
        <w:rPr>
          <w:rFonts w:hint="eastAsia" w:ascii="仿宋" w:hAnsi="仿宋" w:eastAsia="仿宋" w:cs="仿宋"/>
          <w:b w:val="0"/>
          <w:bCs w:val="0"/>
          <w:kern w:val="2"/>
          <w:sz w:val="28"/>
          <w:szCs w:val="28"/>
          <w:shd w:val="clear" w:color="auto" w:fill="auto"/>
        </w:rPr>
        <w:t>另外，在新型平板显示产业方面。总投资超1500亿元的新型平板显示四大项目取得积极进展。总投资465亿元的京东方成都6代AMOLED项目已量产，总投资465亿元的京东方绵阳6代AMOLED项目正在加快建设，总投资280亿元的中国电子8.6代液晶面板项目已投产，总投资404亿元的信利(仁寿)高端项目一期工程已动工。在智能终端产业方面。截至目前，四川省新落地智能终端项目185个，总投资超1000亿元，预计产值超过2000亿元。在网络安全产业、软件产业方面亦有投资项目。</w:t>
      </w:r>
    </w:p>
    <w:p>
      <w:pPr>
        <w:widowControl/>
        <w:shd w:val="clear" w:color="auto" w:fill="FFFFFF"/>
        <w:spacing w:line="482" w:lineRule="atLeast"/>
        <w:rPr>
          <w:rFonts w:ascii="仿宋_GB2312" w:eastAsia="仿宋_GB2312" w:cs="宋体"/>
          <w:color w:val="333333"/>
          <w:kern w:val="0"/>
          <w:sz w:val="28"/>
          <w:szCs w:val="28"/>
        </w:rPr>
      </w:pPr>
    </w:p>
    <w:p>
      <w:pPr>
        <w:ind w:firstLine="0"/>
        <w:rPr>
          <w:rFonts w:ascii="仿宋_GB2312" w:eastAsia="仿宋_GB2312" w:cs="宋体"/>
          <w:sz w:val="28"/>
          <w:szCs w:val="28"/>
        </w:rPr>
      </w:pPr>
    </w:p>
    <w:p>
      <w:pPr>
        <w:ind w:firstLine="0"/>
        <w:rPr>
          <w:rFonts w:ascii="仿宋_GB2312" w:eastAsia="仿宋_GB2312" w:cs="宋体"/>
          <w:sz w:val="28"/>
          <w:szCs w:val="28"/>
        </w:rPr>
      </w:pPr>
      <w:r>
        <w:rPr>
          <w:rFonts w:ascii="仿宋_GB2312" w:eastAsia="仿宋_GB2312" w:cs="宋体"/>
          <w:sz w:val="28"/>
          <w:szCs w:val="28"/>
        </w:rPr>
        <w:drawing>
          <wp:anchor distT="0" distB="0" distL="114300" distR="114300" simplePos="0" relativeHeight="251694080" behindDoc="1" locked="0" layoutInCell="1" allowOverlap="1">
            <wp:simplePos x="0" y="0"/>
            <wp:positionH relativeFrom="column">
              <wp:posOffset>-1141095</wp:posOffset>
            </wp:positionH>
            <wp:positionV relativeFrom="paragraph">
              <wp:posOffset>-906780</wp:posOffset>
            </wp:positionV>
            <wp:extent cx="8115300" cy="12954000"/>
            <wp:effectExtent l="19050" t="0" r="0" b="0"/>
            <wp:wrapNone/>
            <wp:docPr id="5"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36" descr="0072"/>
                    <pic:cNvPicPr>
                      <a:picLocks noChangeAspect="1" noChangeArrowheads="1"/>
                    </pic:cNvPicPr>
                  </pic:nvPicPr>
                  <pic:blipFill>
                    <a:blip r:embed="rId10"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pPr>
        <w:ind w:left="120" w:firstLine="294"/>
        <w:rPr>
          <w:rFonts w:ascii="仿宋_GB2312" w:eastAsia="仿宋_GB2312" w:cs="宋体"/>
          <w:sz w:val="28"/>
          <w:szCs w:val="28"/>
        </w:rPr>
      </w:pPr>
    </w:p>
    <w:p>
      <w:pPr>
        <w:ind w:left="120" w:firstLine="294"/>
        <w:rPr>
          <w:rFonts w:ascii="仿宋_GB2312" w:eastAsia="仿宋_GB2312" w:cs="宋体"/>
          <w:sz w:val="28"/>
          <w:szCs w:val="28"/>
        </w:rPr>
      </w:pPr>
    </w:p>
    <w:p>
      <w:pPr>
        <w:ind w:left="120" w:firstLine="294"/>
        <w:rPr>
          <w:rFonts w:ascii="仿宋_GB2312" w:eastAsia="仿宋_GB2312" w:cs="宋体"/>
          <w:sz w:val="28"/>
          <w:szCs w:val="28"/>
        </w:rPr>
      </w:pPr>
    </w:p>
    <w:p>
      <w:pPr>
        <w:ind w:left="120" w:firstLine="294"/>
        <w:rPr>
          <w:rFonts w:ascii="仿宋_GB2312" w:eastAsia="仿宋_GB2312" w:cs="宋体"/>
          <w:sz w:val="28"/>
          <w:szCs w:val="28"/>
        </w:rPr>
      </w:pPr>
    </w:p>
    <w:p>
      <w:pPr>
        <w:ind w:left="120" w:firstLine="294"/>
        <w:rPr>
          <w:rFonts w:ascii="仿宋_GB2312" w:eastAsia="仿宋_GB2312" w:cs="宋体"/>
          <w:sz w:val="28"/>
          <w:szCs w:val="28"/>
        </w:rPr>
      </w:pPr>
    </w:p>
    <w:p>
      <w:pPr>
        <w:spacing w:line="360" w:lineRule="auto"/>
        <w:ind w:left="0" w:leftChars="0" w:right="151" w:rightChars="0" w:firstLine="0" w:firstLineChars="0"/>
        <w:jc w:val="center"/>
        <w:outlineLvl w:val="9"/>
        <w:rPr>
          <w:rFonts w:hint="eastAsia" w:ascii="仿宋_GB2312" w:eastAsia="仿宋_GB2312"/>
          <w:b/>
          <w:outline/>
          <w:color w:val="4F81BD" w:themeColor="accent1"/>
          <w:sz w:val="84"/>
          <w:szCs w:val="84"/>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17" w:name="_Toc29786"/>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第三部分</w:t>
      </w:r>
      <w:bookmarkEnd w:id="17"/>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18" w:name="_Toc25360"/>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【业界动态】</w:t>
      </w:r>
      <w:bookmarkEnd w:id="18"/>
    </w:p>
    <w:p>
      <w:pPr>
        <w:ind w:left="120" w:firstLine="294"/>
        <w:rPr>
          <w:rFonts w:ascii="仿宋_GB2312" w:eastAsia="仿宋_GB2312" w:cs="宋体"/>
          <w:sz w:val="28"/>
          <w:szCs w:val="28"/>
        </w:rPr>
      </w:pPr>
    </w:p>
    <w:p>
      <w:pPr>
        <w:ind w:left="120" w:firstLine="294"/>
        <w:rPr>
          <w:rFonts w:ascii="仿宋_GB2312" w:eastAsia="仿宋_GB2312" w:cs="宋体"/>
          <w:sz w:val="28"/>
          <w:szCs w:val="28"/>
        </w:rPr>
      </w:pPr>
    </w:p>
    <w:p>
      <w:pPr>
        <w:ind w:left="120" w:firstLine="294"/>
        <w:rPr>
          <w:rFonts w:ascii="仿宋_GB2312" w:eastAsia="仿宋_GB2312" w:cs="宋体"/>
          <w:sz w:val="28"/>
          <w:szCs w:val="28"/>
        </w:rPr>
      </w:pPr>
    </w:p>
    <w:p>
      <w:pPr>
        <w:ind w:left="120" w:firstLine="294"/>
        <w:rPr>
          <w:rFonts w:ascii="仿宋_GB2312" w:eastAsia="仿宋_GB2312" w:cs="宋体"/>
          <w:sz w:val="28"/>
          <w:szCs w:val="28"/>
        </w:rPr>
      </w:pPr>
    </w:p>
    <w:p>
      <w:pPr>
        <w:ind w:firstLine="0"/>
        <w:rPr>
          <w:rFonts w:ascii="仿宋_GB2312" w:eastAsia="仿宋_GB2312" w:cs="宋体"/>
          <w:sz w:val="28"/>
          <w:szCs w:val="28"/>
        </w:rPr>
      </w:pPr>
    </w:p>
    <w:p>
      <w:pPr>
        <w:ind w:firstLine="0"/>
        <w:rPr>
          <w:rFonts w:ascii="仿宋_GB2312" w:eastAsia="仿宋_GB2312" w:cs="宋体"/>
          <w:sz w:val="28"/>
          <w:szCs w:val="28"/>
        </w:rPr>
      </w:pPr>
    </w:p>
    <w:p>
      <w:pPr>
        <w:ind w:left="120" w:firstLine="294"/>
        <w:rPr>
          <w:rFonts w:ascii="仿宋_GB2312" w:eastAsia="仿宋_GB2312" w:cs="宋体"/>
          <w:kern w:val="0"/>
          <w:sz w:val="28"/>
          <w:szCs w:val="28"/>
        </w:rPr>
      </w:pPr>
    </w:p>
    <w:p>
      <w:pPr>
        <w:ind w:firstLine="0"/>
        <w:rPr>
          <w:rFonts w:ascii="仿宋_GB2312" w:eastAsia="仿宋_GB2312" w:cs="宋体"/>
          <w:kern w:val="0"/>
          <w:sz w:val="28"/>
          <w:szCs w:val="28"/>
        </w:rPr>
      </w:pPr>
    </w:p>
    <w:p>
      <w:pPr>
        <w:ind w:left="0" w:leftChars="0" w:firstLine="0" w:firstLineChars="0"/>
        <w:outlineLvl w:val="1"/>
        <w:rPr>
          <w:rFonts w:hint="eastAsia" w:ascii="仿宋" w:hAnsi="仿宋" w:eastAsia="仿宋" w:cs="仿宋"/>
          <w:b/>
          <w:bCs/>
          <w:color w:val="000000" w:themeColor="text1"/>
          <w:sz w:val="28"/>
          <w:szCs w:val="28"/>
          <w14:textFill>
            <w14:solidFill>
              <w14:schemeClr w14:val="tx1"/>
            </w14:solidFill>
          </w14:textFill>
        </w:rPr>
      </w:pPr>
      <w:bookmarkStart w:id="19" w:name="_Toc511205782"/>
      <w:bookmarkStart w:id="20" w:name="_Toc23609"/>
      <w:r>
        <w:rPr>
          <w:rFonts w:hint="eastAsia" w:ascii="仿宋" w:hAnsi="仿宋" w:eastAsia="仿宋" w:cs="仿宋"/>
          <w:b/>
          <w:bCs/>
          <w:color w:val="000000" w:themeColor="text1"/>
          <w:sz w:val="28"/>
          <w:szCs w:val="28"/>
          <w14:textFill>
            <w14:solidFill>
              <w14:schemeClr w14:val="tx1"/>
            </w14:solidFill>
          </w14:textFill>
        </w:rPr>
        <w:t>（一）</w:t>
      </w:r>
      <w:bookmarkEnd w:id="19"/>
      <w:bookmarkStart w:id="21" w:name="_Toc511205783"/>
      <w:r>
        <w:rPr>
          <w:rFonts w:hint="eastAsia" w:ascii="仿宋" w:hAnsi="仿宋" w:eastAsia="仿宋" w:cs="仿宋"/>
          <w:b/>
          <w:bCs/>
          <w:color w:val="000000" w:themeColor="text1"/>
          <w:sz w:val="28"/>
          <w:szCs w:val="28"/>
          <w14:textFill>
            <w14:solidFill>
              <w14:schemeClr w14:val="tx1"/>
            </w14:solidFill>
          </w14:textFill>
        </w:rPr>
        <w:t>个人信息泄露成网络消费大痛点</w:t>
      </w:r>
      <w:bookmarkEnd w:id="20"/>
    </w:p>
    <w:p>
      <w:pPr>
        <w:ind w:left="0" w:leftChars="0" w:firstLine="0" w:firstLineChars="0"/>
        <w:rPr>
          <w:rFonts w:hint="eastAsia"/>
          <w:color w:val="000000" w:themeColor="text1"/>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来源：</w:t>
      </w:r>
      <w:r>
        <w:rPr>
          <w:rFonts w:hint="eastAsia" w:ascii="仿宋" w:hAnsi="仿宋" w:eastAsia="仿宋" w:cs="仿宋"/>
          <w:b/>
          <w:bCs/>
          <w:color w:val="000000" w:themeColor="text1"/>
          <w:sz w:val="28"/>
          <w:szCs w:val="28"/>
          <w:lang w:eastAsia="zh-CN"/>
          <w14:textFill>
            <w14:solidFill>
              <w14:schemeClr w14:val="tx1"/>
            </w14:solidFill>
          </w14:textFill>
        </w:rPr>
        <w:t>人民网</w:t>
      </w:r>
    </w:p>
    <w:p>
      <w:pPr>
        <w:ind w:left="0" w:leftChars="0" w:firstLine="0" w:firstLineChars="0"/>
        <w:rPr>
          <w:rFonts w:hint="eastAsia" w:ascii="仿宋_GB2312" w:eastAsia="仿宋_GB2312"/>
          <w:kern w:val="0"/>
          <w:sz w:val="28"/>
          <w:szCs w:val="28"/>
        </w:rPr>
      </w:pPr>
      <w:r>
        <w:rPr>
          <w:rFonts w:hint="eastAsia" w:ascii="仿宋_GB2312" w:eastAsia="仿宋_GB2312"/>
          <w:kern w:val="0"/>
          <w:sz w:val="28"/>
          <w:szCs w:val="28"/>
          <w:lang w:eastAsia="zh-CN"/>
        </w:rPr>
        <w:drawing>
          <wp:anchor distT="0" distB="0" distL="114300" distR="114300" simplePos="0" relativeHeight="251700224" behindDoc="1" locked="0" layoutInCell="1" allowOverlap="1">
            <wp:simplePos x="0" y="0"/>
            <wp:positionH relativeFrom="column">
              <wp:posOffset>117475</wp:posOffset>
            </wp:positionH>
            <wp:positionV relativeFrom="paragraph">
              <wp:posOffset>377190</wp:posOffset>
            </wp:positionV>
            <wp:extent cx="4467860" cy="3506470"/>
            <wp:effectExtent l="0" t="0" r="8890" b="17780"/>
            <wp:wrapNone/>
            <wp:docPr id="13" name="图片 1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
                    <pic:cNvPicPr>
                      <a:picLocks noChangeAspect="1"/>
                    </pic:cNvPicPr>
                  </pic:nvPicPr>
                  <pic:blipFill>
                    <a:blip r:embed="rId13"/>
                    <a:stretch>
                      <a:fillRect/>
                    </a:stretch>
                  </pic:blipFill>
                  <pic:spPr>
                    <a:xfrm>
                      <a:off x="0" y="0"/>
                      <a:ext cx="4467860" cy="3506470"/>
                    </a:xfrm>
                    <a:prstGeom prst="rect">
                      <a:avLst/>
                    </a:prstGeom>
                  </pic:spPr>
                </pic:pic>
              </a:graphicData>
            </a:graphic>
          </wp:anchor>
        </w:drawing>
      </w:r>
      <w:r>
        <w:rPr>
          <w:rFonts w:hint="eastAsia" w:ascii="仿宋_GB2312" w:eastAsia="仿宋_GB2312"/>
          <w:kern w:val="0"/>
          <w:sz w:val="28"/>
          <w:szCs w:val="28"/>
        </w:rPr>
        <w:t>推销电话响不停、虚假广告满天飞、网络购物没发票……</w:t>
      </w:r>
    </w:p>
    <w:p>
      <w:pPr>
        <w:ind w:firstLine="560" w:firstLineChars="200"/>
        <w:rPr>
          <w:rFonts w:hint="eastAsia" w:ascii="仿宋_GB2312" w:eastAsia="仿宋_GB2312"/>
          <w:kern w:val="0"/>
          <w:sz w:val="28"/>
          <w:szCs w:val="28"/>
          <w:lang w:eastAsia="zh-CN"/>
        </w:rPr>
      </w:pPr>
    </w:p>
    <w:p>
      <w:pPr>
        <w:ind w:firstLine="560" w:firstLineChars="200"/>
        <w:rPr>
          <w:rFonts w:hint="eastAsia" w:ascii="仿宋_GB2312" w:eastAsia="仿宋_GB2312"/>
          <w:kern w:val="0"/>
          <w:sz w:val="28"/>
          <w:szCs w:val="28"/>
          <w:lang w:eastAsia="zh-CN"/>
        </w:rPr>
      </w:pPr>
    </w:p>
    <w:p>
      <w:pPr>
        <w:ind w:firstLine="560" w:firstLineChars="200"/>
        <w:rPr>
          <w:rFonts w:hint="eastAsia" w:ascii="仿宋_GB2312" w:eastAsia="仿宋_GB2312"/>
          <w:kern w:val="0"/>
          <w:sz w:val="28"/>
          <w:szCs w:val="28"/>
        </w:rPr>
      </w:pPr>
    </w:p>
    <w:p>
      <w:pPr>
        <w:ind w:firstLine="560" w:firstLineChars="200"/>
        <w:rPr>
          <w:rFonts w:hint="eastAsia" w:ascii="仿宋_GB2312" w:eastAsia="仿宋_GB2312"/>
          <w:kern w:val="0"/>
          <w:sz w:val="28"/>
          <w:szCs w:val="28"/>
        </w:rPr>
      </w:pPr>
    </w:p>
    <w:p>
      <w:pPr>
        <w:ind w:firstLine="560" w:firstLineChars="200"/>
        <w:rPr>
          <w:rFonts w:hint="eastAsia" w:ascii="仿宋_GB2312" w:eastAsia="仿宋_GB2312"/>
          <w:kern w:val="0"/>
          <w:sz w:val="28"/>
          <w:szCs w:val="28"/>
        </w:rPr>
      </w:pPr>
    </w:p>
    <w:p>
      <w:pPr>
        <w:ind w:firstLine="560" w:firstLineChars="200"/>
        <w:rPr>
          <w:rFonts w:hint="eastAsia" w:ascii="仿宋_GB2312" w:eastAsia="仿宋_GB2312"/>
          <w:kern w:val="0"/>
          <w:sz w:val="28"/>
          <w:szCs w:val="28"/>
        </w:rPr>
      </w:pPr>
    </w:p>
    <w:p>
      <w:pPr>
        <w:ind w:firstLine="560" w:firstLineChars="200"/>
        <w:rPr>
          <w:rFonts w:hint="eastAsia" w:ascii="仿宋_GB2312" w:eastAsia="仿宋_GB2312"/>
          <w:kern w:val="0"/>
          <w:sz w:val="28"/>
          <w:szCs w:val="28"/>
        </w:rPr>
      </w:pPr>
    </w:p>
    <w:p>
      <w:pPr>
        <w:ind w:firstLine="560" w:firstLineChars="200"/>
        <w:rPr>
          <w:rFonts w:hint="eastAsia" w:ascii="仿宋_GB2312" w:eastAsia="仿宋_GB2312"/>
          <w:kern w:val="0"/>
          <w:sz w:val="28"/>
          <w:szCs w:val="28"/>
        </w:rPr>
      </w:pPr>
    </w:p>
    <w:p>
      <w:pPr>
        <w:ind w:firstLine="560" w:firstLineChars="200"/>
        <w:rPr>
          <w:rFonts w:hint="eastAsia" w:ascii="仿宋_GB2312" w:eastAsia="仿宋_GB2312"/>
          <w:kern w:val="0"/>
          <w:sz w:val="28"/>
          <w:szCs w:val="28"/>
        </w:rPr>
      </w:pPr>
    </w:p>
    <w:p>
      <w:pPr>
        <w:ind w:left="0" w:leftChars="0" w:firstLine="0" w:firstLineChars="0"/>
        <w:rPr>
          <w:rFonts w:hint="eastAsia" w:ascii="仿宋_GB2312" w:eastAsia="仿宋_GB2312"/>
          <w:kern w:val="0"/>
          <w:sz w:val="28"/>
          <w:szCs w:val="28"/>
        </w:rPr>
      </w:pPr>
      <w:r>
        <w:rPr>
          <w:rFonts w:hint="eastAsia" w:ascii="仿宋_GB2312" w:eastAsia="仿宋_GB2312"/>
          <w:kern w:val="0"/>
          <w:sz w:val="28"/>
          <w:szCs w:val="28"/>
        </w:rPr>
        <w:t>网络消费哪件事让消费者最烦心?</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针对网络消费中存在的价格收费、公平交易、广告宣传、争议解决、服务态度、个人信息保护等热点难点问题,湖北省消费者委员会在全省17个市州开展了消费评议活动,共收集网络消费调查有效样本5200个,其中城镇样本3790个、农村样本数1410个。</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调查结果显示,2017年湖北省网络消费调查的总体不满意率为29.47%,不满意率最高的是消费者个人信息保护方面,不满意率为44.12%,广告宣传与消费价格的不满意率位列第二、第三位,分别为41.45%和32.28%。</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近日,湖北省消费者委员会发布了2017年度《全省网络消费监督评议调查报告》(以下简称调查报告),这是湖北省首部网络消费监督评议调查报告。</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“希望调查报告公布的内容,能引起网络经营者、消费者及管理部门重视,进一步保障消费者合法权益,共同建设无忧网络环境。”报告起草人、湖北省消费者委员会消费指导部夏添说。</w:t>
      </w:r>
    </w:p>
    <w:p>
      <w:pPr>
        <w:ind w:left="0" w:leftChars="0" w:firstLine="0" w:firstLineChars="0"/>
        <w:rPr>
          <w:rFonts w:hint="eastAsia" w:ascii="仿宋_GB2312" w:eastAsia="仿宋_GB2312"/>
          <w:kern w:val="0"/>
          <w:sz w:val="28"/>
          <w:szCs w:val="28"/>
        </w:rPr>
      </w:pPr>
      <w:r>
        <w:rPr>
          <w:rFonts w:hint="eastAsia" w:ascii="仿宋_GB2312" w:eastAsia="仿宋_GB2312"/>
          <w:kern w:val="0"/>
          <w:sz w:val="28"/>
          <w:szCs w:val="28"/>
        </w:rPr>
        <w:t>个人信息泄露成顽疾</w:t>
      </w:r>
    </w:p>
    <w:p>
      <w:pPr>
        <w:ind w:left="0" w:leftChars="0" w:firstLine="0" w:firstLineChars="0"/>
        <w:rPr>
          <w:rFonts w:hint="eastAsia" w:ascii="仿宋_GB2312" w:eastAsia="仿宋_GB2312"/>
          <w:kern w:val="0"/>
          <w:sz w:val="28"/>
          <w:szCs w:val="28"/>
        </w:rPr>
      </w:pPr>
      <w:r>
        <w:rPr>
          <w:rFonts w:hint="eastAsia" w:ascii="仿宋_GB2312" w:eastAsia="仿宋_GB2312"/>
          <w:kern w:val="0"/>
          <w:sz w:val="28"/>
          <w:szCs w:val="28"/>
        </w:rPr>
        <w:t>售楼客户的电话一度让小刘烦不胜烦。</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小刘是湖北武汉一家高校应届毕业生,准备留武汉工作。今年年初,他在一家房地产在线交易平台咨询武汉市武昌区万金国际广场楼盘售楼情况。出于对个人信息安全考虑,小刘拒绝向对方网站人工客服提供自己的联系方式。</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但当天下午,小刘还是接到了一个自称该房地产交易平台经纪人的电话。更令他不满的是,随后几天,他陆续接到武汉地区数个售楼经纪人的推销电话。</w:t>
      </w:r>
    </w:p>
    <w:p>
      <w:pPr>
        <w:ind w:left="0" w:leftChars="0" w:firstLine="420" w:firstLineChars="150"/>
        <w:rPr>
          <w:rFonts w:hint="eastAsia" w:ascii="仿宋_GB2312" w:eastAsia="仿宋_GB2312"/>
          <w:kern w:val="0"/>
          <w:sz w:val="28"/>
          <w:szCs w:val="28"/>
        </w:rPr>
      </w:pPr>
      <w:r>
        <w:rPr>
          <w:rFonts w:hint="eastAsia" w:ascii="仿宋_GB2312" w:eastAsia="仿宋_GB2312"/>
          <w:kern w:val="0"/>
          <w:sz w:val="28"/>
          <w:szCs w:val="28"/>
        </w:rPr>
        <w:t>小刘的遭遇并不罕见。调查报告指出,全省各地均有消费者经常收到广告推销短信和电话,还时常会收到一些不法信息,并且感觉个人信息被严重泄露,部分推销电话能够准确说出消费者的姓名、年龄、家庭住址、工作单位等信息,让消费者忧心忡忡。</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在这一调查报告中,“是否未经消费者同意而向其发送信息,但本人不愿意收到且无法拒绝接收的其他短信和电话”的不满意率最高,达到48.67%。</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这说明消费者个人信息泄露的情况很严重。”夏添说,在利益驱使下,部分商家间会相互倒卖、共享用户信息,个别公司内部员工甚至会利用职务之便盗取用户信息再高价卖出……这都导致消费者信息被泄露,遭受促销推广电话、短信侵扰,还存在被诈骗的隐患。</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2017年4月,湖北荆州警方破获一起贩卖公民个人信息案,其中涉案人员多为一家知名快递公司荆州分公司高管及快递员,他们以每条1元到10元不等的价格贩售客户个人信息。</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为防止消费者个人信息泄露,调查报告建议,建立并完善消费者个人信息保护的实施细则,通过法律规定经营者在何种情况、多大程度、多长期限以及如何收集、使用消费者个人信息。报告还建议,经营者应加大技术开发投入,充分利用技术手段维护消费者个人信息安全,实现信息安全技术防护与互联网技术的运用同步发展。</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“对于具备一定规模的经营者,应建立内部个人信息保护专员,建立完善的授权凭证与操作备案制度。”调查报告写道。</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但在现实生活中,个人信息泄露也与消费者缺乏个人信息保护意识及不良购物习惯密切相关。</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夏添建议,网络消费者应当谨慎透露个人信息,并采用必要的技术防范手段,比如采用匿名注册,网上消费应严格遵守网购交易流程,避免安装来历不明的软件和插件等。</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单纯依靠行政监管并不能充分保障个人信息安全,很多消费者信息保护意识淡薄,认为接到几个推销电话、收到几条垃圾短信没什么。”夏添认为,只有消费者提高自我防范意识,才能在源头上有效避免个人信息泄露,进而压缩个人信息非法利用空间。</w:t>
      </w:r>
    </w:p>
    <w:p>
      <w:pPr>
        <w:ind w:left="0" w:leftChars="0" w:firstLine="0" w:firstLineChars="0"/>
        <w:rPr>
          <w:rFonts w:hint="eastAsia" w:ascii="仿宋_GB2312" w:eastAsia="仿宋_GB2312"/>
          <w:kern w:val="0"/>
          <w:sz w:val="28"/>
          <w:szCs w:val="28"/>
        </w:rPr>
      </w:pPr>
      <w:r>
        <w:rPr>
          <w:rFonts w:hint="eastAsia" w:ascii="仿宋_GB2312" w:eastAsia="仿宋_GB2312"/>
          <w:kern w:val="0"/>
          <w:sz w:val="28"/>
          <w:szCs w:val="28"/>
        </w:rPr>
        <w:t>网络虚假宣传泛滥成灾</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“采用国际最前沿的诊疗技术”“被医学界公认为华中最好的肝病医院”……这些光鲜的名头,曾经是湖北一家肝病专科医院的“金字招牌”。</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2016年8月至2017年8月7日,这家肝病专科医院在网络上发布虚假广告,使用国家机关名义虚构国家项目、使用湖北慈善总会名义虚构慈善救助公益工程,杜撰“十二五全国无肝炎计划”“863肝病康复活动”并“得到国务院卫生部首肯”以欺骗消费者。后经媒体曝光,武汉市工商部门责令其停止发布违法广告、在相应范围内消除影响,并处罚款314.05万元。</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与这家肝病专科医院宣传手段如出一辙,在一家大型电商交易平台上,许多商家使用“行业领先”“国家级”“全网最”“第一”等宣传语,有些甚至宣称“假一赔十”“假一赔万”。</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调查报告指出,在网络虚假广告中,往往会出现诸如行业领先、世界领先、国内首家、全球销量第一等虚假内容。</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看到这些广告语,消费者要保持清醒头脑,及时向工商部门广告监管中心举报。”夏添说,一旦消费者购买了这些问题商品,商家就用各种借口和理由逃避责任,和消费者捉迷藏,能够兑现承诺的商家寥寥无几；有些商家为了提高商品的可信度,甚至会伪造虚假的行业协会和鉴定证书等</w:t>
      </w:r>
      <w:r>
        <w:rPr>
          <w:rFonts w:hint="eastAsia" w:ascii="仿宋_GB2312" w:eastAsia="仿宋_GB2312"/>
          <w:kern w:val="0"/>
          <w:sz w:val="28"/>
          <w:szCs w:val="28"/>
          <w:lang w:eastAsia="zh-CN"/>
        </w:rPr>
        <w:t>。</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除了浮夸的广告宣传外,部分商家还雇“水军”刷单,提升虚假销量和美誉度。</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湖北仙桃人张某便是刷单“水军”之一。去年年初,在网上求职时,张某接触到网络专业刷单组织的外宣人员,经过沟通后缴纳100元会费加入该组织。在一家语音平台一个专属频道接受刷单任务后,张某使用多个不同的淘宝账号,按照主持人的指令在淘宝、天猫平台完成刷单操作,并在收货后给予刷单商品及服务全5星的好评,以此来获取每单两元至12元不等的非法利益。2017年7月,张某因涉嫌以“虚构交易为他人网络店铺提升商业信誉”遭到仙桃市工商局处理。</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网络虚假广告四处泛滥,夏添认为,交易平台管理方处罚力度不够是重要原因之一。“把经营行为与商家的信用积分相结合,实行考评制,当分数到达一定下限时,撤销该经营者在本平台继续经营。”夏添建议,要加强平台间的信息互通,与经营者个人信息和营业执照等挂钩,真正做到“一处失信,寸步难行”。</w:t>
      </w:r>
    </w:p>
    <w:p>
      <w:pPr>
        <w:ind w:left="0" w:leftChars="0" w:firstLine="0" w:firstLineChars="0"/>
        <w:rPr>
          <w:rFonts w:hint="eastAsia" w:ascii="仿宋_GB2312" w:eastAsia="仿宋_GB2312"/>
          <w:kern w:val="0"/>
          <w:sz w:val="28"/>
          <w:szCs w:val="28"/>
        </w:rPr>
      </w:pPr>
      <w:r>
        <w:rPr>
          <w:rFonts w:hint="eastAsia" w:ascii="仿宋_GB2312" w:eastAsia="仿宋_GB2312"/>
          <w:kern w:val="0"/>
          <w:sz w:val="28"/>
          <w:szCs w:val="28"/>
        </w:rPr>
        <w:t>形成消费维权合力倒逼合规</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2017年湖北省电子商务交易额达1.7万亿元。以电子商务为主要内容的网络经济发展迅猛,关于网络消费的纠纷也不断增加。</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湖北省工商行政管理局统计,全省12315系统2017年共接到网络购物投诉1.87万件,同比增长87.56%,占投诉总量的12.03%,占比增加4.3个百分点。</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为维护消费者在网络消费领域的合法权益,我国先后修订了消费者权益保护法、反不当竞争法、广告法、互联网广告管理暂行办法等一系列法律法规。</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这些法律法规或多或少涉及对网络消费者权益的保护,总的来说我国目前已建立相对完善的消费者权益保护的法律体系。”湖北大学政法与公共管理学院经济法教授邹爱华认为,治理网络消费侵权,关键靠落实相关法律法规。</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邹爱华建议,执法部门应改变执法方式,主动出击加强对事前事中事后监管并制定相应考核机制,对明显不作为行为给予行政处罚；鼓励消费者对虚假宣传进行举报,设立匿名账户,对举报人给予奖励；鼓励当事人追究不法商家民事责任,对当事人不便出面的,可直接由当地消费者协会代为出面进行追究。</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湖北瀛楚律师事务所律师钱谦良也长期关注网络消费维权。在他看来,与传统购物相比,网络购物存在无法看到实物、无法及时交付、以次充好或假冒伪劣产品泛滥、商品侵犯知识产权、商家信息不透明等特性,消费者在网络消费过程中要注意留存相应消费证据,在出现争议时及时将证据提供给工商行政部门、消费者协会、购物网站客服部门等相关消费维权机构。</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针对调查中发现的网络消费侵权现象,调查报告建议,政府有关行政主管部门切实担负起行政监管职责,行业协会完善行业自律机制；网络经营者诚信经营,切实营造良好网络消费环境；新闻媒体加大舆论监督力度,对侵害消费者合法权益的典型案例要及时披露曝光。</w:t>
      </w:r>
    </w:p>
    <w:p>
      <w:pPr>
        <w:ind w:firstLine="560" w:firstLineChars="200"/>
        <w:rPr>
          <w:rFonts w:hint="eastAsia" w:ascii="仿宋_GB2312" w:eastAsia="仿宋_GB2312"/>
          <w:kern w:val="0"/>
          <w:sz w:val="28"/>
          <w:szCs w:val="28"/>
        </w:rPr>
      </w:pPr>
      <w:r>
        <w:rPr>
          <w:rFonts w:hint="eastAsia" w:ascii="仿宋_GB2312" w:eastAsia="仿宋_GB2312"/>
          <w:kern w:val="0"/>
          <w:sz w:val="28"/>
          <w:szCs w:val="28"/>
        </w:rPr>
        <w:t>“消费者权益保护需要各方共同努力。”夏添认为,消费者也要不断丰富消费知识,提高自身维权意识,勇于对侵权行为说不。</w:t>
      </w:r>
    </w:p>
    <w:p>
      <w:pPr>
        <w:ind w:left="0" w:leftChars="0" w:firstLine="0" w:firstLineChars="0"/>
        <w:rPr>
          <w:rFonts w:hint="eastAsia" w:ascii="仿宋_GB2312" w:eastAsia="仿宋_GB2312"/>
          <w:kern w:val="0"/>
          <w:sz w:val="28"/>
          <w:szCs w:val="28"/>
        </w:rPr>
      </w:pP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tabs>
          <w:tab w:val="left" w:pos="360"/>
          <w:tab w:val="clear" w:pos="3045"/>
          <w:tab w:val="clear" w:pos="3402"/>
          <w:tab w:val="clear" w:pos="4275"/>
        </w:tabs>
        <w:spacing w:before="76" w:beforeAutospacing="0" w:after="150" w:afterAutospacing="0" w:line="855" w:lineRule="atLeast"/>
        <w:ind w:leftChars="0" w:right="0" w:rightChars="0"/>
        <w:jc w:val="left"/>
        <w:outlineLvl w:val="1"/>
        <w:rPr>
          <w:rFonts w:hint="eastAsia" w:ascii="仿宋" w:hAnsi="仿宋" w:eastAsia="仿宋" w:cs="仿宋"/>
          <w:b/>
          <w:bCs/>
          <w:i w:val="0"/>
          <w:color w:val="auto"/>
          <w:sz w:val="28"/>
          <w:szCs w:val="28"/>
        </w:rPr>
      </w:pPr>
      <w:bookmarkStart w:id="22" w:name="_Toc28689"/>
      <w:r>
        <w:rPr>
          <w:rFonts w:hint="eastAsia" w:ascii="仿宋" w:hAnsi="仿宋" w:eastAsia="仿宋" w:cs="仿宋"/>
          <w:b/>
          <w:bCs/>
          <w:color w:val="auto"/>
          <w:sz w:val="28"/>
          <w:szCs w:val="28"/>
        </w:rPr>
        <w:t>（二）</w:t>
      </w:r>
      <w:bookmarkEnd w:id="21"/>
      <w:r>
        <w:rPr>
          <w:rFonts w:hint="eastAsia" w:ascii="仿宋" w:hAnsi="仿宋" w:eastAsia="仿宋" w:cs="仿宋"/>
          <w:b/>
          <w:bCs/>
          <w:i w:val="0"/>
          <w:caps w:val="0"/>
          <w:color w:val="auto"/>
          <w:spacing w:val="0"/>
          <w:sz w:val="28"/>
          <w:szCs w:val="28"/>
          <w:bdr w:val="none" w:color="auto" w:sz="0" w:space="0"/>
        </w:rPr>
        <w:t>海南信息安全基地三亚开园 首批36家企业入驻</w:t>
      </w:r>
      <w:bookmarkEnd w:id="22"/>
    </w:p>
    <w:p>
      <w:pPr>
        <w:keepNext w:val="0"/>
        <w:keepLines w:val="0"/>
        <w:widowControl/>
        <w:suppressLineNumbers w:val="0"/>
        <w:pBdr>
          <w:bottom w:val="none" w:color="auto" w:sz="0" w:space="0"/>
        </w:pBdr>
        <w:spacing w:before="0" w:beforeAutospacing="0" w:after="0" w:afterAutospacing="0" w:line="660" w:lineRule="atLeast"/>
        <w:ind w:left="0" w:right="0" w:firstLine="0"/>
        <w:jc w:val="left"/>
        <w:rPr>
          <w:rFonts w:hint="eastAsia" w:ascii="仿宋" w:hAnsi="仿宋" w:eastAsia="仿宋" w:cs="仿宋"/>
          <w:b/>
          <w:bCs/>
          <w:i w:val="0"/>
          <w:caps w:val="0"/>
          <w:color w:val="auto"/>
          <w:spacing w:val="0"/>
          <w:kern w:val="0"/>
          <w:sz w:val="28"/>
          <w:szCs w:val="28"/>
          <w:u w:val="none"/>
          <w:lang w:val="en-US" w:eastAsia="zh-CN" w:bidi="ar"/>
        </w:rPr>
      </w:pPr>
      <w:r>
        <w:rPr>
          <w:rFonts w:hint="eastAsia" w:ascii="仿宋" w:hAnsi="仿宋" w:eastAsia="仿宋" w:cs="仿宋"/>
          <w:b/>
          <w:bCs/>
          <w:i w:val="0"/>
          <w:caps w:val="0"/>
          <w:color w:val="auto"/>
          <w:spacing w:val="0"/>
          <w:kern w:val="0"/>
          <w:sz w:val="28"/>
          <w:szCs w:val="28"/>
          <w:lang w:val="en-US" w:eastAsia="zh-CN" w:bidi="ar"/>
        </w:rPr>
        <w:t>来源：</w:t>
      </w:r>
      <w:r>
        <w:rPr>
          <w:rFonts w:hint="eastAsia" w:ascii="仿宋" w:hAnsi="仿宋" w:eastAsia="仿宋" w:cs="仿宋"/>
          <w:b/>
          <w:bCs/>
          <w:i w:val="0"/>
          <w:caps w:val="0"/>
          <w:color w:val="auto"/>
          <w:spacing w:val="0"/>
          <w:kern w:val="0"/>
          <w:sz w:val="28"/>
          <w:szCs w:val="28"/>
          <w:u w:val="none"/>
          <w:lang w:val="en-US" w:eastAsia="zh-CN" w:bidi="ar"/>
        </w:rPr>
        <w:fldChar w:fldCharType="begin"/>
      </w:r>
      <w:r>
        <w:rPr>
          <w:rFonts w:hint="eastAsia" w:ascii="仿宋" w:hAnsi="仿宋" w:eastAsia="仿宋" w:cs="仿宋"/>
          <w:b/>
          <w:bCs/>
          <w:i w:val="0"/>
          <w:caps w:val="0"/>
          <w:color w:val="auto"/>
          <w:spacing w:val="0"/>
          <w:kern w:val="0"/>
          <w:sz w:val="28"/>
          <w:szCs w:val="28"/>
          <w:u w:val="none"/>
          <w:lang w:val="en-US" w:eastAsia="zh-CN" w:bidi="ar"/>
        </w:rPr>
        <w:instrText xml:space="preserve"> HYPERLINK "http://www.chinanews.com/cj/2018/05-11/8511985.shtml" \t "http://industry.people.com.cn/n1/2018/0512/_blank" </w:instrText>
      </w:r>
      <w:r>
        <w:rPr>
          <w:rFonts w:hint="eastAsia" w:ascii="仿宋" w:hAnsi="仿宋" w:eastAsia="仿宋" w:cs="仿宋"/>
          <w:b/>
          <w:bCs/>
          <w:i w:val="0"/>
          <w:caps w:val="0"/>
          <w:color w:val="auto"/>
          <w:spacing w:val="0"/>
          <w:kern w:val="0"/>
          <w:sz w:val="28"/>
          <w:szCs w:val="28"/>
          <w:u w:val="none"/>
          <w:lang w:val="en-US" w:eastAsia="zh-CN" w:bidi="ar"/>
        </w:rPr>
        <w:fldChar w:fldCharType="separate"/>
      </w:r>
      <w:r>
        <w:rPr>
          <w:rStyle w:val="27"/>
          <w:rFonts w:hint="eastAsia" w:ascii="仿宋" w:hAnsi="仿宋" w:eastAsia="仿宋" w:cs="仿宋"/>
          <w:b/>
          <w:bCs/>
          <w:i w:val="0"/>
          <w:caps w:val="0"/>
          <w:color w:val="auto"/>
          <w:spacing w:val="0"/>
          <w:sz w:val="28"/>
          <w:szCs w:val="28"/>
          <w:u w:val="none"/>
        </w:rPr>
        <w:t>中国新闻网</w:t>
      </w:r>
      <w:r>
        <w:rPr>
          <w:rFonts w:hint="eastAsia" w:ascii="仿宋" w:hAnsi="仿宋" w:eastAsia="仿宋" w:cs="仿宋"/>
          <w:b/>
          <w:bCs/>
          <w:i w:val="0"/>
          <w:caps w:val="0"/>
          <w:color w:val="auto"/>
          <w:spacing w:val="0"/>
          <w:kern w:val="0"/>
          <w:sz w:val="28"/>
          <w:szCs w:val="28"/>
          <w:u w:val="none"/>
          <w:lang w:val="en-US" w:eastAsia="zh-CN" w:bidi="ar"/>
        </w:rPr>
        <w:fldChar w:fldCharType="end"/>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420" w:firstLineChars="150"/>
        <w:jc w:val="left"/>
        <w:textAlignment w:val="auto"/>
        <w:outlineLvl w:val="9"/>
        <w:rPr>
          <w:rFonts w:hint="eastAsia" w:ascii="仿宋" w:hAnsi="仿宋" w:eastAsia="仿宋" w:cs="仿宋"/>
          <w:b w:val="0"/>
          <w:i w:val="0"/>
          <w:color w:val="222222"/>
          <w:sz w:val="28"/>
          <w:szCs w:val="28"/>
        </w:rPr>
      </w:pPr>
      <w:r>
        <w:rPr>
          <w:rFonts w:hint="eastAsia" w:ascii="仿宋" w:hAnsi="仿宋" w:eastAsia="仿宋" w:cs="仿宋"/>
          <w:b w:val="0"/>
          <w:i w:val="0"/>
          <w:caps w:val="0"/>
          <w:color w:val="222222"/>
          <w:spacing w:val="0"/>
          <w:sz w:val="28"/>
          <w:szCs w:val="28"/>
          <w:bdr w:val="none" w:color="auto" w:sz="0" w:space="0"/>
        </w:rPr>
        <w:t>海南信息安全基地11日在三亚海棠湾开园。电子六所、国科微、天津飞腾等36家企业签约入驻。</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olor w:val="222222"/>
          <w:sz w:val="28"/>
          <w:szCs w:val="28"/>
        </w:rPr>
      </w:pPr>
      <w:r>
        <w:rPr>
          <w:rFonts w:hint="eastAsia" w:ascii="仿宋" w:hAnsi="仿宋" w:eastAsia="仿宋" w:cs="仿宋"/>
          <w:b w:val="0"/>
          <w:i w:val="0"/>
          <w:caps w:val="0"/>
          <w:color w:val="222222"/>
          <w:spacing w:val="0"/>
          <w:sz w:val="28"/>
          <w:szCs w:val="28"/>
          <w:bdr w:val="none" w:color="auto" w:sz="0" w:space="0"/>
        </w:rPr>
        <w:t>海南信息安全基地由中国电子信息产业集团主导建设。基地立足信息安全、军民融合、智慧海洋、智慧医疗四大特色产业，打造人才资源平台、融资服务平台、公共技术服务平台、联合营销平台、基础服务平台，期望在三亚海棠湾建成中国国内第一个信息安全产业聚集区。</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olor w:val="222222"/>
          <w:sz w:val="28"/>
          <w:szCs w:val="28"/>
        </w:rPr>
      </w:pPr>
      <w:r>
        <w:rPr>
          <w:rFonts w:hint="eastAsia" w:ascii="仿宋" w:hAnsi="仿宋" w:eastAsia="仿宋" w:cs="仿宋"/>
          <w:b w:val="0"/>
          <w:i w:val="0"/>
          <w:caps w:val="0"/>
          <w:color w:val="222222"/>
          <w:spacing w:val="0"/>
          <w:sz w:val="28"/>
          <w:szCs w:val="28"/>
          <w:bdr w:val="none" w:color="auto" w:sz="0" w:space="0"/>
        </w:rPr>
        <w:t>据介绍，海南信息安全基地项目整体规划1200亩，目前正在开发的一期项目占地100亩，建筑面积约13万平方米。一期项目包含全球安全威胁情报共享中心、国家信息安全能力汇聚传导中心、信息安全核心技术攻研基地、行业先进技术封闭研发基地、海南省信息安全企业孵化基地等。</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olor w:val="222222"/>
          <w:sz w:val="28"/>
          <w:szCs w:val="28"/>
        </w:rPr>
      </w:pPr>
      <w:r>
        <w:rPr>
          <w:rFonts w:hint="eastAsia" w:ascii="仿宋" w:hAnsi="仿宋" w:eastAsia="仿宋" w:cs="仿宋"/>
          <w:b w:val="0"/>
          <w:i w:val="0"/>
          <w:caps w:val="0"/>
          <w:color w:val="222222"/>
          <w:spacing w:val="0"/>
          <w:sz w:val="28"/>
          <w:szCs w:val="28"/>
          <w:bdr w:val="none" w:color="auto" w:sz="0" w:space="0"/>
        </w:rPr>
        <w:t>开园当天，中国电子信息产业集团有限公司第六研究所、国科微电子股份有限公司、天津飞腾信息技术有限公司、重庆市城投金卡信息产业股份有限公司、广东京信软件科技有限公司、武汉达梦数据库有限公司、成都科来软件有限公司、南大傲拓科技江苏有限公司等36家企业签约入驻。</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olor w:val="222222"/>
          <w:sz w:val="28"/>
          <w:szCs w:val="28"/>
        </w:rPr>
      </w:pPr>
      <w:r>
        <w:rPr>
          <w:rFonts w:hint="eastAsia" w:ascii="仿宋" w:hAnsi="仿宋" w:eastAsia="仿宋" w:cs="仿宋"/>
          <w:b w:val="0"/>
          <w:i w:val="0"/>
          <w:caps w:val="0"/>
          <w:color w:val="222222"/>
          <w:spacing w:val="0"/>
          <w:sz w:val="28"/>
          <w:szCs w:val="28"/>
          <w:bdr w:val="none" w:color="auto" w:sz="0" w:space="0"/>
        </w:rPr>
        <w:t>“企业规模、名气大小不是我们的入驻标准。我们看重它的成长性，看重它的创新机制和未来可能给产业带来的增值价值。”海南信息安全基地股东、中电长城网际系统应用有限公司的董事长黎军说，与信息安全有关的企业都积极欢迎入驻，彼此协同发展，“共同打造一个产业生态”。</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ascii="仿宋_GB2312" w:eastAsia="仿宋_GB2312"/>
          <w:kern w:val="0"/>
          <w:sz w:val="28"/>
          <w:szCs w:val="28"/>
        </w:rPr>
      </w:pPr>
      <w:r>
        <w:rPr>
          <w:rFonts w:hint="eastAsia" w:ascii="仿宋" w:hAnsi="仿宋" w:eastAsia="仿宋" w:cs="仿宋"/>
          <w:b w:val="0"/>
          <w:i w:val="0"/>
          <w:caps w:val="0"/>
          <w:color w:val="222222"/>
          <w:spacing w:val="0"/>
          <w:sz w:val="28"/>
          <w:szCs w:val="28"/>
          <w:bdr w:val="none" w:color="auto" w:sz="0" w:space="0"/>
        </w:rPr>
        <w:t>“这个地方环境特别好，而且配套也不错。”广东京信软件科技有限公司副总裁周健雄说，其公司员工的工作方式是以任务为导向，有高端挖掘分析算法、技术障碍等突击任务时，将会派数据科学家、算法工程师等高端科研人才赴海南，让他们进行度假式专题开发。</w:t>
      </w:r>
    </w:p>
    <w:p>
      <w:pPr>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tabs>
          <w:tab w:val="left" w:pos="360"/>
          <w:tab w:val="left" w:pos="540"/>
        </w:tabs>
        <w:kinsoku/>
        <w:wordWrap/>
        <w:overflowPunct/>
        <w:topLinePunct w:val="0"/>
        <w:autoSpaceDE/>
        <w:autoSpaceDN/>
        <w:bidi w:val="0"/>
        <w:adjustRightInd/>
        <w:snapToGrid/>
        <w:spacing w:beforeAutospacing="0" w:afterAutospacing="0" w:line="240" w:lineRule="auto"/>
        <w:ind w:right="0" w:rightChars="0"/>
        <w:jc w:val="left"/>
        <w:textAlignment w:val="auto"/>
        <w:outlineLvl w:val="9"/>
        <w:rPr>
          <w:rFonts w:hint="eastAsia" w:ascii="仿宋" w:hAnsi="仿宋" w:eastAsia="仿宋" w:cs="仿宋"/>
          <w:color w:val="auto"/>
          <w:sz w:val="28"/>
          <w:szCs w:val="28"/>
        </w:rPr>
      </w:pPr>
      <w:bookmarkStart w:id="23" w:name="_Toc511205784"/>
    </w:p>
    <w:p>
      <w:pPr>
        <w:pStyle w:val="3"/>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tabs>
          <w:tab w:val="left" w:pos="360"/>
          <w:tab w:val="clear" w:pos="3045"/>
          <w:tab w:val="clear" w:pos="3402"/>
          <w:tab w:val="clear" w:pos="4275"/>
        </w:tabs>
        <w:kinsoku/>
        <w:wordWrap/>
        <w:overflowPunct/>
        <w:topLinePunct w:val="0"/>
        <w:autoSpaceDE/>
        <w:autoSpaceDN/>
        <w:bidi w:val="0"/>
        <w:adjustRightInd/>
        <w:snapToGrid/>
        <w:spacing w:beforeAutospacing="0" w:afterAutospacing="0" w:line="240" w:lineRule="auto"/>
        <w:ind w:right="0" w:rightChars="0"/>
        <w:jc w:val="left"/>
        <w:textAlignment w:val="auto"/>
        <w:outlineLvl w:val="1"/>
        <w:rPr>
          <w:rFonts w:hint="eastAsia" w:ascii="仿宋" w:hAnsi="仿宋" w:eastAsia="仿宋" w:cs="仿宋"/>
          <w:b/>
          <w:bCs/>
          <w:i w:val="0"/>
          <w:color w:val="auto"/>
          <w:sz w:val="28"/>
          <w:szCs w:val="28"/>
        </w:rPr>
      </w:pPr>
      <w:bookmarkStart w:id="24" w:name="_Toc2307"/>
      <w:r>
        <w:rPr>
          <w:rFonts w:hint="eastAsia" w:ascii="仿宋" w:hAnsi="仿宋" w:eastAsia="仿宋" w:cs="仿宋"/>
          <w:b/>
          <w:bCs/>
          <w:color w:val="auto"/>
          <w:sz w:val="28"/>
          <w:szCs w:val="28"/>
        </w:rPr>
        <w:t>（三）</w:t>
      </w:r>
      <w:bookmarkEnd w:id="23"/>
      <w:r>
        <w:rPr>
          <w:rFonts w:hint="eastAsia" w:ascii="仿宋" w:hAnsi="仿宋" w:eastAsia="仿宋" w:cs="仿宋"/>
          <w:b/>
          <w:bCs/>
          <w:i w:val="0"/>
          <w:caps w:val="0"/>
          <w:color w:val="auto"/>
          <w:spacing w:val="0"/>
          <w:sz w:val="28"/>
          <w:szCs w:val="28"/>
          <w:bdr w:val="none" w:color="auto" w:sz="0" w:space="0"/>
        </w:rPr>
        <w:t>共筑网上网下同心圆”倡议书全文发布</w:t>
      </w:r>
      <w:bookmarkEnd w:id="24"/>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rPr>
          <w:rFonts w:hint="eastAsia" w:ascii="仿宋" w:hAnsi="仿宋" w:eastAsia="仿宋" w:cs="仿宋"/>
          <w:b/>
          <w:bCs/>
          <w:i w:val="0"/>
          <w:caps w:val="0"/>
          <w:color w:val="auto"/>
          <w:spacing w:val="0"/>
          <w:sz w:val="28"/>
          <w:szCs w:val="28"/>
        </w:rPr>
      </w:pPr>
      <w:r>
        <w:rPr>
          <w:rFonts w:hint="eastAsia" w:ascii="仿宋" w:hAnsi="仿宋" w:eastAsia="仿宋" w:cs="仿宋"/>
          <w:b/>
          <w:bCs/>
          <w:i w:val="0"/>
          <w:caps w:val="0"/>
          <w:color w:val="auto"/>
          <w:spacing w:val="0"/>
          <w:kern w:val="0"/>
          <w:sz w:val="28"/>
          <w:szCs w:val="28"/>
          <w:lang w:val="en-US" w:eastAsia="zh-CN" w:bidi="ar"/>
        </w:rPr>
        <w:t>来源：</w:t>
      </w:r>
      <w:r>
        <w:rPr>
          <w:rFonts w:hint="eastAsia" w:ascii="仿宋" w:hAnsi="仿宋" w:eastAsia="仿宋" w:cs="仿宋"/>
          <w:b/>
          <w:bCs/>
          <w:i w:val="0"/>
          <w:caps w:val="0"/>
          <w:color w:val="auto"/>
          <w:spacing w:val="0"/>
          <w:kern w:val="0"/>
          <w:sz w:val="28"/>
          <w:szCs w:val="28"/>
          <w:u w:val="none"/>
          <w:lang w:val="en-US" w:eastAsia="zh-CN" w:bidi="ar"/>
        </w:rPr>
        <w:fldChar w:fldCharType="begin"/>
      </w:r>
      <w:r>
        <w:rPr>
          <w:rFonts w:hint="eastAsia" w:ascii="仿宋" w:hAnsi="仿宋" w:eastAsia="仿宋" w:cs="仿宋"/>
          <w:b/>
          <w:bCs/>
          <w:i w:val="0"/>
          <w:caps w:val="0"/>
          <w:color w:val="auto"/>
          <w:spacing w:val="0"/>
          <w:kern w:val="0"/>
          <w:sz w:val="28"/>
          <w:szCs w:val="28"/>
          <w:u w:val="none"/>
          <w:lang w:val="en-US" w:eastAsia="zh-CN" w:bidi="ar"/>
        </w:rPr>
        <w:instrText xml:space="preserve"> HYPERLINK "http://politics.gmw.cn/2018-05/11/content_28741998.htm" \t "http://media.people.com.cn/n1/2018/0511/_blank" </w:instrText>
      </w:r>
      <w:r>
        <w:rPr>
          <w:rFonts w:hint="eastAsia" w:ascii="仿宋" w:hAnsi="仿宋" w:eastAsia="仿宋" w:cs="仿宋"/>
          <w:b/>
          <w:bCs/>
          <w:i w:val="0"/>
          <w:caps w:val="0"/>
          <w:color w:val="auto"/>
          <w:spacing w:val="0"/>
          <w:kern w:val="0"/>
          <w:sz w:val="28"/>
          <w:szCs w:val="28"/>
          <w:u w:val="none"/>
          <w:lang w:val="en-US" w:eastAsia="zh-CN" w:bidi="ar"/>
        </w:rPr>
        <w:fldChar w:fldCharType="separate"/>
      </w:r>
      <w:r>
        <w:rPr>
          <w:rStyle w:val="27"/>
          <w:rFonts w:hint="eastAsia" w:ascii="仿宋" w:hAnsi="仿宋" w:eastAsia="仿宋" w:cs="仿宋"/>
          <w:b/>
          <w:bCs/>
          <w:i w:val="0"/>
          <w:caps w:val="0"/>
          <w:color w:val="auto"/>
          <w:spacing w:val="0"/>
          <w:sz w:val="28"/>
          <w:szCs w:val="28"/>
          <w:u w:val="none"/>
        </w:rPr>
        <w:t>光明网</w:t>
      </w:r>
      <w:r>
        <w:rPr>
          <w:rFonts w:hint="eastAsia" w:ascii="仿宋" w:hAnsi="仿宋" w:eastAsia="仿宋" w:cs="仿宋"/>
          <w:b/>
          <w:bCs/>
          <w:i w:val="0"/>
          <w:caps w:val="0"/>
          <w:color w:val="auto"/>
          <w:spacing w:val="0"/>
          <w:kern w:val="0"/>
          <w:sz w:val="28"/>
          <w:szCs w:val="28"/>
          <w:u w:val="none"/>
          <w:lang w:val="en-US" w:eastAsia="zh-CN" w:bidi="ar"/>
        </w:rPr>
        <w:fldChar w:fldCharType="end"/>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560" w:firstLineChars="200"/>
        <w:jc w:val="left"/>
        <w:textAlignment w:val="auto"/>
        <w:rPr>
          <w:rFonts w:hint="eastAsia" w:ascii="仿宋" w:hAnsi="仿宋" w:eastAsia="仿宋" w:cs="仿宋"/>
          <w:b w:val="0"/>
          <w:i w:val="0"/>
          <w:color w:val="auto"/>
          <w:sz w:val="28"/>
          <w:szCs w:val="28"/>
        </w:rPr>
      </w:pPr>
      <w:r>
        <w:rPr>
          <w:rFonts w:hint="eastAsia" w:ascii="仿宋" w:hAnsi="仿宋" w:eastAsia="仿宋" w:cs="仿宋"/>
          <w:b w:val="0"/>
          <w:i w:val="0"/>
          <w:caps w:val="0"/>
          <w:color w:val="auto"/>
          <w:spacing w:val="0"/>
          <w:sz w:val="28"/>
          <w:szCs w:val="28"/>
          <w:bdr w:val="none" w:color="auto" w:sz="0" w:space="0"/>
        </w:rPr>
        <w:t>近日，中国网络社会组织联合会成立大会在北京召开。据了解，中国网络社会组织联合会是我国首个由网络社会组织自愿结成的全国性、联合性、枢纽性社会组织，由10家全国性网络社会组织发起成立，首批会员单位300家网络社会组织，国家网信办是其业务主管单位。</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560" w:firstLineChars="200"/>
        <w:jc w:val="left"/>
        <w:textAlignment w:val="auto"/>
        <w:rPr>
          <w:rFonts w:hint="eastAsia" w:ascii="仿宋" w:hAnsi="仿宋" w:eastAsia="仿宋" w:cs="仿宋"/>
          <w:b w:val="0"/>
          <w:i w:val="0"/>
          <w:color w:val="auto"/>
          <w:sz w:val="28"/>
          <w:szCs w:val="28"/>
        </w:rPr>
      </w:pPr>
      <w:r>
        <w:rPr>
          <w:rFonts w:hint="eastAsia" w:ascii="仿宋" w:hAnsi="仿宋" w:eastAsia="仿宋" w:cs="仿宋"/>
          <w:b w:val="0"/>
          <w:i w:val="0"/>
          <w:caps w:val="0"/>
          <w:color w:val="auto"/>
          <w:spacing w:val="0"/>
          <w:sz w:val="28"/>
          <w:szCs w:val="28"/>
          <w:bdr w:val="none" w:color="auto" w:sz="0" w:space="0"/>
        </w:rPr>
        <w:t>成立大会上，中国网络社会组织联合会发布了《关于共筑网上网下同心圆 助力网络强国建设的倡议》，倡议全国各级网络社会组织共同参与网络生态综合治理，共同维护互联网行业秩序，共同发展网络公益事业，共同参与维护网络安全，共同参与推动信息化和网信经济发展，共同参与互联网对外交流合作，共同为网信事业发展献计献策，共筑网上网下同心圆。倡议书全文如下。</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560" w:firstLineChars="200"/>
        <w:jc w:val="left"/>
        <w:textAlignment w:val="auto"/>
        <w:rPr>
          <w:rFonts w:hint="eastAsia" w:ascii="仿宋" w:hAnsi="仿宋" w:eastAsia="仿宋" w:cs="仿宋"/>
          <w:b w:val="0"/>
          <w:i w:val="0"/>
          <w:color w:val="auto"/>
          <w:sz w:val="28"/>
          <w:szCs w:val="28"/>
        </w:rPr>
      </w:pPr>
      <w:r>
        <w:rPr>
          <w:rFonts w:hint="eastAsia" w:ascii="仿宋" w:hAnsi="仿宋" w:eastAsia="仿宋" w:cs="仿宋"/>
          <w:b w:val="0"/>
          <w:i w:val="0"/>
          <w:caps w:val="0"/>
          <w:color w:val="auto"/>
          <w:spacing w:val="0"/>
          <w:sz w:val="28"/>
          <w:szCs w:val="28"/>
          <w:bdr w:val="none" w:color="auto" w:sz="0" w:space="0"/>
        </w:rPr>
        <w:t>全国各级网络社会组织：</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560" w:firstLineChars="200"/>
        <w:jc w:val="left"/>
        <w:textAlignment w:val="auto"/>
        <w:rPr>
          <w:rFonts w:hint="eastAsia" w:ascii="仿宋" w:hAnsi="仿宋" w:eastAsia="仿宋" w:cs="仿宋"/>
          <w:b w:val="0"/>
          <w:i w:val="0"/>
          <w:color w:val="auto"/>
          <w:sz w:val="28"/>
          <w:szCs w:val="28"/>
        </w:rPr>
      </w:pPr>
      <w:r>
        <w:rPr>
          <w:rFonts w:hint="eastAsia" w:ascii="仿宋" w:hAnsi="仿宋" w:eastAsia="仿宋" w:cs="仿宋"/>
          <w:b w:val="0"/>
          <w:i w:val="0"/>
          <w:caps w:val="0"/>
          <w:color w:val="auto"/>
          <w:spacing w:val="0"/>
          <w:sz w:val="28"/>
          <w:szCs w:val="28"/>
          <w:bdr w:val="none" w:color="auto" w:sz="0" w:space="0"/>
        </w:rPr>
        <w:t>网络社会组织是推动网信事业发展、建设网络强国的重要力量，是网信队伍的重要组成部分。习近平总书记在全国网络安全和信息化工作会议上强调要构建网上网下同心圆，形成党，领导、政府管理、企业履责、社会监督、网民自律等多主体参与的综合治网格局。为贯彻落实习近平网络强国战略思想和全国网络安全和信息化工作会议精神，进一步发挥各级各类网络社会组织作用，凝聚共识、汇集力量，构建网上网下同心圆，奋力实现中华民族伟大复兴的中国梦，我们向全国网络社会组织发出如下倡议：</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560" w:firstLineChars="200"/>
        <w:jc w:val="left"/>
        <w:textAlignment w:val="auto"/>
        <w:rPr>
          <w:rFonts w:hint="eastAsia" w:ascii="仿宋" w:hAnsi="仿宋" w:eastAsia="仿宋" w:cs="仿宋"/>
          <w:b w:val="0"/>
          <w:i w:val="0"/>
          <w:color w:val="auto"/>
          <w:sz w:val="28"/>
          <w:szCs w:val="28"/>
        </w:rPr>
      </w:pPr>
      <w:r>
        <w:rPr>
          <w:rStyle w:val="23"/>
          <w:rFonts w:hint="eastAsia" w:ascii="仿宋" w:hAnsi="仿宋" w:eastAsia="仿宋" w:cs="仿宋"/>
          <w:b w:val="0"/>
          <w:bCs w:val="0"/>
          <w:i w:val="0"/>
          <w:caps w:val="0"/>
          <w:color w:val="auto"/>
          <w:spacing w:val="0"/>
          <w:sz w:val="28"/>
          <w:szCs w:val="28"/>
          <w:bdr w:val="none" w:color="auto" w:sz="0" w:space="0"/>
        </w:rPr>
        <w:t>一、共同参与网络生态综合治理。</w:t>
      </w:r>
      <w:r>
        <w:rPr>
          <w:rFonts w:hint="eastAsia" w:ascii="仿宋" w:hAnsi="仿宋" w:eastAsia="仿宋" w:cs="仿宋"/>
          <w:b w:val="0"/>
          <w:bCs w:val="0"/>
          <w:i w:val="0"/>
          <w:caps w:val="0"/>
          <w:color w:val="auto"/>
          <w:spacing w:val="0"/>
          <w:sz w:val="28"/>
          <w:szCs w:val="28"/>
          <w:bdr w:val="none" w:color="auto" w:sz="0" w:space="0"/>
        </w:rPr>
        <w:t>积</w:t>
      </w:r>
      <w:r>
        <w:rPr>
          <w:rFonts w:hint="eastAsia" w:ascii="仿宋" w:hAnsi="仿宋" w:eastAsia="仿宋" w:cs="仿宋"/>
          <w:b w:val="0"/>
          <w:i w:val="0"/>
          <w:caps w:val="0"/>
          <w:color w:val="auto"/>
          <w:spacing w:val="0"/>
          <w:sz w:val="28"/>
          <w:szCs w:val="28"/>
          <w:bdr w:val="none" w:color="auto" w:sz="0" w:space="0"/>
        </w:rPr>
        <w:t>极加强网络社会组织网上宣传矩阵建设，大力弘扬社会主义核心价值观，传播网络正能量，促进网络文化繁荣发展。经常开展社会评议、举报监督，维护网络生态环境。</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560" w:firstLineChars="200"/>
        <w:jc w:val="left"/>
        <w:textAlignment w:val="auto"/>
        <w:rPr>
          <w:rFonts w:hint="eastAsia" w:ascii="仿宋" w:hAnsi="仿宋" w:eastAsia="仿宋" w:cs="仿宋"/>
          <w:b w:val="0"/>
          <w:i w:val="0"/>
          <w:color w:val="auto"/>
          <w:sz w:val="28"/>
          <w:szCs w:val="28"/>
        </w:rPr>
      </w:pPr>
      <w:r>
        <w:rPr>
          <w:rStyle w:val="23"/>
          <w:rFonts w:hint="eastAsia" w:ascii="仿宋" w:hAnsi="仿宋" w:eastAsia="仿宋" w:cs="仿宋"/>
          <w:b w:val="0"/>
          <w:bCs w:val="0"/>
          <w:i w:val="0"/>
          <w:caps w:val="0"/>
          <w:color w:val="auto"/>
          <w:spacing w:val="0"/>
          <w:sz w:val="28"/>
          <w:szCs w:val="28"/>
          <w:bdr w:val="none" w:color="auto" w:sz="0" w:space="0"/>
        </w:rPr>
        <w:t>二、共同维护互联网行业秩序。</w:t>
      </w:r>
      <w:r>
        <w:rPr>
          <w:rFonts w:hint="eastAsia" w:ascii="仿宋" w:hAnsi="仿宋" w:eastAsia="仿宋" w:cs="仿宋"/>
          <w:b w:val="0"/>
          <w:bCs w:val="0"/>
          <w:i w:val="0"/>
          <w:caps w:val="0"/>
          <w:color w:val="auto"/>
          <w:spacing w:val="0"/>
          <w:sz w:val="28"/>
          <w:szCs w:val="28"/>
          <w:bdr w:val="none" w:color="auto" w:sz="0" w:space="0"/>
        </w:rPr>
        <w:t>积极参</w:t>
      </w:r>
      <w:r>
        <w:rPr>
          <w:rFonts w:hint="eastAsia" w:ascii="仿宋" w:hAnsi="仿宋" w:eastAsia="仿宋" w:cs="仿宋"/>
          <w:b w:val="0"/>
          <w:i w:val="0"/>
          <w:caps w:val="0"/>
          <w:color w:val="auto"/>
          <w:spacing w:val="0"/>
          <w:sz w:val="28"/>
          <w:szCs w:val="28"/>
          <w:bdr w:val="none" w:color="auto" w:sz="0" w:space="0"/>
        </w:rPr>
        <w:t>与互联网行业标准制定、行业纠纷调处，健全互联网行业自律体系，加强网络诚信建设，引导互联网企业切实履行信息安全管理主体责任和企业社会责任，维护良好的互联网发展行业环境。</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560" w:firstLineChars="200"/>
        <w:jc w:val="left"/>
        <w:textAlignment w:val="auto"/>
        <w:rPr>
          <w:rFonts w:hint="eastAsia" w:ascii="仿宋" w:hAnsi="仿宋" w:eastAsia="仿宋" w:cs="仿宋"/>
          <w:b w:val="0"/>
          <w:i w:val="0"/>
          <w:color w:val="auto"/>
          <w:sz w:val="28"/>
          <w:szCs w:val="28"/>
        </w:rPr>
      </w:pPr>
      <w:r>
        <w:rPr>
          <w:rStyle w:val="23"/>
          <w:rFonts w:hint="eastAsia" w:ascii="仿宋" w:hAnsi="仿宋" w:eastAsia="仿宋" w:cs="仿宋"/>
          <w:b w:val="0"/>
          <w:bCs w:val="0"/>
          <w:i w:val="0"/>
          <w:caps w:val="0"/>
          <w:color w:val="auto"/>
          <w:spacing w:val="0"/>
          <w:sz w:val="28"/>
          <w:szCs w:val="28"/>
          <w:bdr w:val="none" w:color="auto" w:sz="0" w:space="0"/>
        </w:rPr>
        <w:t>三、共同发展网络公益事业。</w:t>
      </w:r>
      <w:r>
        <w:rPr>
          <w:rFonts w:hint="eastAsia" w:ascii="仿宋" w:hAnsi="仿宋" w:eastAsia="仿宋" w:cs="仿宋"/>
          <w:b w:val="0"/>
          <w:bCs w:val="0"/>
          <w:i w:val="0"/>
          <w:caps w:val="0"/>
          <w:color w:val="auto"/>
          <w:spacing w:val="0"/>
          <w:sz w:val="28"/>
          <w:szCs w:val="28"/>
          <w:bdr w:val="none" w:color="auto" w:sz="0" w:space="0"/>
        </w:rPr>
        <w:t>发动</w:t>
      </w:r>
      <w:r>
        <w:rPr>
          <w:rFonts w:hint="eastAsia" w:ascii="仿宋" w:hAnsi="仿宋" w:eastAsia="仿宋" w:cs="仿宋"/>
          <w:b w:val="0"/>
          <w:i w:val="0"/>
          <w:caps w:val="0"/>
          <w:color w:val="auto"/>
          <w:spacing w:val="0"/>
          <w:sz w:val="28"/>
          <w:szCs w:val="28"/>
          <w:bdr w:val="none" w:color="auto" w:sz="0" w:space="0"/>
        </w:rPr>
        <w:t>社会各方力量参与网络公益活动，打造网络公益品牌，积极参与网络公益扶贫项目，营造浓厚的网络公益氛围。</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560" w:firstLineChars="200"/>
        <w:jc w:val="left"/>
        <w:textAlignment w:val="auto"/>
        <w:rPr>
          <w:rFonts w:hint="eastAsia" w:ascii="仿宋" w:hAnsi="仿宋" w:eastAsia="仿宋" w:cs="仿宋"/>
          <w:b w:val="0"/>
          <w:i w:val="0"/>
          <w:color w:val="auto"/>
          <w:sz w:val="28"/>
          <w:szCs w:val="28"/>
        </w:rPr>
      </w:pPr>
      <w:r>
        <w:rPr>
          <w:rStyle w:val="23"/>
          <w:rFonts w:hint="eastAsia" w:ascii="仿宋" w:hAnsi="仿宋" w:eastAsia="仿宋" w:cs="仿宋"/>
          <w:b w:val="0"/>
          <w:bCs w:val="0"/>
          <w:i w:val="0"/>
          <w:caps w:val="0"/>
          <w:color w:val="auto"/>
          <w:spacing w:val="0"/>
          <w:sz w:val="28"/>
          <w:szCs w:val="28"/>
          <w:bdr w:val="none" w:color="auto" w:sz="0" w:space="0"/>
        </w:rPr>
        <w:t>四、共同参与维护网络安全。</w:t>
      </w:r>
      <w:r>
        <w:rPr>
          <w:rFonts w:hint="eastAsia" w:ascii="仿宋" w:hAnsi="仿宋" w:eastAsia="仿宋" w:cs="仿宋"/>
          <w:b w:val="0"/>
          <w:bCs w:val="0"/>
          <w:i w:val="0"/>
          <w:caps w:val="0"/>
          <w:color w:val="auto"/>
          <w:spacing w:val="0"/>
          <w:sz w:val="28"/>
          <w:szCs w:val="28"/>
          <w:bdr w:val="none" w:color="auto" w:sz="0" w:space="0"/>
        </w:rPr>
        <w:t>积极</w:t>
      </w:r>
      <w:r>
        <w:rPr>
          <w:rFonts w:hint="eastAsia" w:ascii="仿宋" w:hAnsi="仿宋" w:eastAsia="仿宋" w:cs="仿宋"/>
          <w:b w:val="0"/>
          <w:i w:val="0"/>
          <w:caps w:val="0"/>
          <w:color w:val="auto"/>
          <w:spacing w:val="0"/>
          <w:sz w:val="28"/>
          <w:szCs w:val="28"/>
          <w:bdr w:val="none" w:color="auto" w:sz="0" w:space="0"/>
        </w:rPr>
        <w:t>开展网络安全宣传教育，引导企业、科研机构和广大网民参与维护网络安全，凝聚网络安全行业力量，为维护国家网络安全发挥独特作用。</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560" w:firstLineChars="200"/>
        <w:jc w:val="left"/>
        <w:textAlignment w:val="auto"/>
        <w:rPr>
          <w:rFonts w:hint="eastAsia" w:ascii="仿宋" w:hAnsi="仿宋" w:eastAsia="仿宋" w:cs="仿宋"/>
          <w:b w:val="0"/>
          <w:i w:val="0"/>
          <w:color w:val="auto"/>
          <w:sz w:val="28"/>
          <w:szCs w:val="28"/>
        </w:rPr>
      </w:pPr>
      <w:r>
        <w:rPr>
          <w:rStyle w:val="23"/>
          <w:rFonts w:hint="eastAsia" w:ascii="仿宋" w:hAnsi="仿宋" w:eastAsia="仿宋" w:cs="仿宋"/>
          <w:b w:val="0"/>
          <w:bCs w:val="0"/>
          <w:i w:val="0"/>
          <w:caps w:val="0"/>
          <w:color w:val="auto"/>
          <w:spacing w:val="0"/>
          <w:sz w:val="28"/>
          <w:szCs w:val="28"/>
          <w:bdr w:val="none" w:color="auto" w:sz="0" w:space="0"/>
        </w:rPr>
        <w:t>五、共同参与推动信息化和数字经济发展。</w:t>
      </w:r>
      <w:r>
        <w:rPr>
          <w:rFonts w:hint="eastAsia" w:ascii="仿宋" w:hAnsi="仿宋" w:eastAsia="仿宋" w:cs="仿宋"/>
          <w:b w:val="0"/>
          <w:i w:val="0"/>
          <w:caps w:val="0"/>
          <w:color w:val="auto"/>
          <w:spacing w:val="0"/>
          <w:sz w:val="28"/>
          <w:szCs w:val="28"/>
          <w:bdr w:val="none" w:color="auto" w:sz="0" w:space="0"/>
        </w:rPr>
        <w:t>积极服务网络强国、数字中国、智慧社会建设，在推动核心技术攻关、信息化驱动引领、人才培养等方面形成合力。</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560" w:firstLineChars="200"/>
        <w:jc w:val="left"/>
        <w:textAlignment w:val="auto"/>
        <w:rPr>
          <w:rFonts w:hint="eastAsia" w:ascii="仿宋" w:hAnsi="仿宋" w:eastAsia="仿宋" w:cs="仿宋"/>
          <w:b w:val="0"/>
          <w:i w:val="0"/>
          <w:color w:val="auto"/>
          <w:sz w:val="28"/>
          <w:szCs w:val="28"/>
        </w:rPr>
      </w:pPr>
      <w:r>
        <w:rPr>
          <w:rStyle w:val="23"/>
          <w:rFonts w:hint="eastAsia" w:ascii="仿宋" w:hAnsi="仿宋" w:eastAsia="仿宋" w:cs="仿宋"/>
          <w:b w:val="0"/>
          <w:bCs w:val="0"/>
          <w:i w:val="0"/>
          <w:caps w:val="0"/>
          <w:color w:val="auto"/>
          <w:spacing w:val="0"/>
          <w:sz w:val="28"/>
          <w:szCs w:val="28"/>
          <w:bdr w:val="none" w:color="auto" w:sz="0" w:space="0"/>
        </w:rPr>
        <w:t>六、共同参与互联网对外交流合作。</w:t>
      </w:r>
      <w:r>
        <w:rPr>
          <w:rFonts w:hint="eastAsia" w:ascii="仿宋" w:hAnsi="仿宋" w:eastAsia="仿宋" w:cs="仿宋"/>
          <w:b w:val="0"/>
          <w:bCs w:val="0"/>
          <w:i w:val="0"/>
          <w:caps w:val="0"/>
          <w:color w:val="auto"/>
          <w:spacing w:val="0"/>
          <w:sz w:val="28"/>
          <w:szCs w:val="28"/>
          <w:bdr w:val="none" w:color="auto" w:sz="0" w:space="0"/>
        </w:rPr>
        <w:t>大力</w:t>
      </w:r>
      <w:r>
        <w:rPr>
          <w:rFonts w:hint="eastAsia" w:ascii="仿宋" w:hAnsi="仿宋" w:eastAsia="仿宋" w:cs="仿宋"/>
          <w:b w:val="0"/>
          <w:i w:val="0"/>
          <w:caps w:val="0"/>
          <w:color w:val="auto"/>
          <w:spacing w:val="0"/>
          <w:sz w:val="28"/>
          <w:szCs w:val="28"/>
          <w:bdr w:val="none" w:color="auto" w:sz="0" w:space="0"/>
        </w:rPr>
        <w:t>弘扬习近平总书记关于全球互联网治理体系的“四项原则”“五点主张”，积极参与网络空间国际民间外交，加强与国际互联网机构的对话与合作，推动全球互联网共享共治平台建设。</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560" w:firstLineChars="200"/>
        <w:jc w:val="left"/>
        <w:textAlignment w:val="auto"/>
        <w:rPr>
          <w:rFonts w:hint="eastAsia" w:ascii="仿宋" w:hAnsi="仿宋" w:eastAsia="仿宋" w:cs="仿宋"/>
          <w:b w:val="0"/>
          <w:i w:val="0"/>
          <w:color w:val="auto"/>
          <w:sz w:val="28"/>
          <w:szCs w:val="28"/>
        </w:rPr>
      </w:pPr>
      <w:r>
        <w:rPr>
          <w:rStyle w:val="23"/>
          <w:rFonts w:hint="eastAsia" w:ascii="仿宋" w:hAnsi="仿宋" w:eastAsia="仿宋" w:cs="仿宋"/>
          <w:b w:val="0"/>
          <w:bCs w:val="0"/>
          <w:i w:val="0"/>
          <w:caps w:val="0"/>
          <w:color w:val="auto"/>
          <w:spacing w:val="0"/>
          <w:sz w:val="28"/>
          <w:szCs w:val="28"/>
          <w:bdr w:val="none" w:color="auto" w:sz="0" w:space="0"/>
        </w:rPr>
        <w:t>七、共同为网信事业发展献计献策。</w:t>
      </w:r>
      <w:r>
        <w:rPr>
          <w:rFonts w:hint="eastAsia" w:ascii="仿宋" w:hAnsi="仿宋" w:eastAsia="仿宋" w:cs="仿宋"/>
          <w:b w:val="0"/>
          <w:bCs w:val="0"/>
          <w:i w:val="0"/>
          <w:caps w:val="0"/>
          <w:color w:val="auto"/>
          <w:spacing w:val="0"/>
          <w:sz w:val="28"/>
          <w:szCs w:val="28"/>
          <w:bdr w:val="none" w:color="auto" w:sz="0" w:space="0"/>
        </w:rPr>
        <w:t>加强对</w:t>
      </w:r>
      <w:r>
        <w:rPr>
          <w:rFonts w:hint="eastAsia" w:ascii="仿宋" w:hAnsi="仿宋" w:eastAsia="仿宋" w:cs="仿宋"/>
          <w:b w:val="0"/>
          <w:i w:val="0"/>
          <w:caps w:val="0"/>
          <w:color w:val="auto"/>
          <w:spacing w:val="0"/>
          <w:sz w:val="28"/>
          <w:szCs w:val="28"/>
          <w:bdr w:val="none" w:color="auto" w:sz="0" w:space="0"/>
        </w:rPr>
        <w:t>网信领域发展前沿课题和实践问题的理论研究，推动建设一批高水平、有特色的网信领域研究智库。</w:t>
      </w:r>
    </w:p>
    <w:p>
      <w:pPr>
        <w:ind w:firstLine="560" w:firstLineChars="200"/>
        <w:rPr>
          <w:rFonts w:ascii="仿宋_GB2312" w:eastAsia="仿宋_GB2312"/>
          <w:kern w:val="0"/>
          <w:sz w:val="28"/>
          <w:szCs w:val="28"/>
        </w:rPr>
      </w:pPr>
    </w:p>
    <w:p>
      <w:pPr>
        <w:tabs>
          <w:tab w:val="left" w:pos="7215"/>
        </w:tabs>
        <w:ind w:firstLine="0"/>
        <w:rPr>
          <w:rFonts w:hint="eastAsia" w:ascii="仿宋_GB2312" w:hAnsi="ˎ̥" w:eastAsia="仿宋_GB2312"/>
          <w:sz w:val="28"/>
          <w:szCs w:val="28"/>
        </w:rPr>
      </w:pPr>
    </w:p>
    <w:p>
      <w:pPr>
        <w:tabs>
          <w:tab w:val="left" w:pos="7215"/>
        </w:tabs>
        <w:ind w:left="120" w:firstLine="220"/>
      </w:pPr>
    </w:p>
    <w:p>
      <w:pPr>
        <w:tabs>
          <w:tab w:val="left" w:pos="7215"/>
        </w:tabs>
        <w:ind w:left="120" w:firstLine="220"/>
      </w:pPr>
    </w:p>
    <w:p>
      <w:pPr>
        <w:tabs>
          <w:tab w:val="left" w:pos="7215"/>
        </w:tabs>
        <w:ind w:left="120" w:firstLine="220"/>
      </w:pPr>
    </w:p>
    <w:p>
      <w:pPr>
        <w:tabs>
          <w:tab w:val="left" w:pos="7215"/>
        </w:tabs>
        <w:ind w:left="120" w:firstLine="220"/>
      </w:pPr>
    </w:p>
    <w:p>
      <w:pPr>
        <w:tabs>
          <w:tab w:val="left" w:pos="7215"/>
        </w:tabs>
        <w:ind w:left="120" w:firstLine="220"/>
      </w:pPr>
    </w:p>
    <w:p>
      <w:pPr>
        <w:tabs>
          <w:tab w:val="left" w:pos="7215"/>
        </w:tabs>
        <w:ind w:left="120" w:firstLine="220"/>
      </w:pPr>
    </w:p>
    <w:p>
      <w:pPr>
        <w:tabs>
          <w:tab w:val="left" w:pos="7215"/>
        </w:tabs>
        <w:ind w:left="120" w:firstLine="220"/>
      </w:pPr>
    </w:p>
    <w:p>
      <w:pPr>
        <w:tabs>
          <w:tab w:val="left" w:pos="7215"/>
        </w:tabs>
        <w:ind w:left="120" w:firstLine="220"/>
      </w:pPr>
    </w:p>
    <w:p>
      <w:pPr>
        <w:tabs>
          <w:tab w:val="left" w:pos="7215"/>
        </w:tabs>
        <w:ind w:left="120" w:firstLine="220"/>
      </w:pPr>
    </w:p>
    <w:p>
      <w:pPr>
        <w:tabs>
          <w:tab w:val="left" w:pos="7215"/>
        </w:tabs>
        <w:ind w:left="120" w:firstLine="220"/>
      </w:pPr>
    </w:p>
    <w:p>
      <w:pPr>
        <w:tabs>
          <w:tab w:val="left" w:pos="7215"/>
        </w:tabs>
        <w:ind w:left="120" w:firstLine="220"/>
      </w:pPr>
    </w:p>
    <w:p>
      <w:pPr>
        <w:tabs>
          <w:tab w:val="left" w:pos="7215"/>
        </w:tabs>
        <w:ind w:left="120" w:firstLine="220"/>
      </w:pPr>
    </w:p>
    <w:p>
      <w:pPr>
        <w:tabs>
          <w:tab w:val="left" w:pos="7215"/>
        </w:tabs>
        <w:ind w:left="120" w:firstLine="220"/>
      </w:pPr>
    </w:p>
    <w:p>
      <w:pPr>
        <w:tabs>
          <w:tab w:val="left" w:pos="7215"/>
        </w:tabs>
        <w:ind w:left="120" w:firstLine="220"/>
        <w:rPr>
          <w:rFonts w:hint="eastAsia" w:ascii="仿宋_GB2312" w:hAnsi="ˎ̥" w:eastAsia="仿宋_GB2312"/>
          <w:sz w:val="28"/>
          <w:szCs w:val="28"/>
        </w:rPr>
      </w:pPr>
    </w:p>
    <w:p>
      <w:pPr>
        <w:tabs>
          <w:tab w:val="left" w:pos="7215"/>
        </w:tabs>
        <w:ind w:left="120" w:firstLine="498" w:firstLineChars="178"/>
        <w:rPr>
          <w:rFonts w:hint="eastAsia" w:ascii="仿宋_GB2312" w:hAnsi="ˎ̥" w:eastAsia="仿宋_GB2312"/>
          <w:sz w:val="28"/>
          <w:szCs w:val="28"/>
        </w:rPr>
      </w:pPr>
    </w:p>
    <w:p>
      <w:pPr>
        <w:tabs>
          <w:tab w:val="left" w:pos="7215"/>
        </w:tabs>
        <w:ind w:left="120" w:firstLine="498" w:firstLineChars="178"/>
        <w:rPr>
          <w:rFonts w:hint="eastAsia" w:ascii="仿宋_GB2312" w:hAnsi="ˎ̥" w:eastAsia="仿宋_GB2312"/>
          <w:sz w:val="28"/>
          <w:szCs w:val="28"/>
        </w:rPr>
      </w:pPr>
    </w:p>
    <w:p>
      <w:pPr>
        <w:tabs>
          <w:tab w:val="left" w:pos="7215"/>
        </w:tabs>
        <w:ind w:left="120" w:firstLine="498" w:firstLineChars="178"/>
        <w:rPr>
          <w:rFonts w:hint="eastAsia" w:ascii="仿宋_GB2312" w:hAnsi="ˎ̥" w:eastAsia="仿宋_GB2312"/>
          <w:sz w:val="28"/>
          <w:szCs w:val="28"/>
        </w:rPr>
      </w:pPr>
    </w:p>
    <w:p>
      <w:pPr>
        <w:tabs>
          <w:tab w:val="left" w:pos="7215"/>
        </w:tabs>
        <w:ind w:left="120" w:firstLine="498" w:firstLineChars="178"/>
        <w:rPr>
          <w:rFonts w:hint="eastAsia" w:ascii="仿宋_GB2312" w:hAnsi="ˎ̥" w:eastAsia="仿宋_GB2312"/>
          <w:sz w:val="28"/>
          <w:szCs w:val="28"/>
        </w:rPr>
      </w:pPr>
    </w:p>
    <w:p>
      <w:pPr>
        <w:tabs>
          <w:tab w:val="left" w:pos="7215"/>
        </w:tabs>
        <w:ind w:left="120" w:firstLine="498" w:firstLineChars="178"/>
        <w:rPr>
          <w:rFonts w:hint="eastAsia" w:ascii="仿宋_GB2312" w:hAnsi="ˎ̥" w:eastAsia="仿宋_GB2312"/>
          <w:sz w:val="28"/>
          <w:szCs w:val="28"/>
        </w:rPr>
      </w:pPr>
    </w:p>
    <w:p>
      <w:pPr>
        <w:tabs>
          <w:tab w:val="left" w:pos="7215"/>
        </w:tabs>
        <w:ind w:left="120" w:firstLine="373" w:firstLineChars="178"/>
        <w:rPr>
          <w:rFonts w:hint="eastAsia" w:ascii="仿宋_GB2312" w:hAnsi="ˎ̥" w:eastAsia="仿宋_GB2312"/>
          <w:sz w:val="28"/>
          <w:szCs w:val="28"/>
        </w:rPr>
      </w:pPr>
      <w:r>
        <w:rPr>
          <w:rFonts w:hint="eastAsia"/>
        </w:rPr>
        <w:drawing>
          <wp:anchor distT="0" distB="0" distL="114300" distR="114300" simplePos="0" relativeHeight="251658240" behindDoc="1" locked="0" layoutInCell="1" allowOverlap="1">
            <wp:simplePos x="0" y="0"/>
            <wp:positionH relativeFrom="column">
              <wp:posOffset>-1136015</wp:posOffset>
            </wp:positionH>
            <wp:positionV relativeFrom="paragraph">
              <wp:posOffset>-908050</wp:posOffset>
            </wp:positionV>
            <wp:extent cx="8336915" cy="11476990"/>
            <wp:effectExtent l="19050" t="0" r="6985" b="0"/>
            <wp:wrapNone/>
            <wp:docPr id="138" name="图片 14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43" descr="0072"/>
                    <pic:cNvPicPr>
                      <a:picLocks noChangeAspect="1" noChangeArrowheads="1"/>
                    </pic:cNvPicPr>
                  </pic:nvPicPr>
                  <pic:blipFill>
                    <a:blip r:embed="rId10" cstate="print">
                      <a:lum bright="70000" contrast="-70000"/>
                    </a:blip>
                    <a:srcRect/>
                    <a:stretch>
                      <a:fillRect/>
                    </a:stretch>
                  </pic:blipFill>
                  <pic:spPr>
                    <a:xfrm>
                      <a:off x="0" y="0"/>
                      <a:ext cx="8336675" cy="11477297"/>
                    </a:xfrm>
                    <a:prstGeom prst="rect">
                      <a:avLst/>
                    </a:prstGeom>
                    <a:solidFill>
                      <a:srgbClr val="CCFFCC">
                        <a:alpha val="0"/>
                      </a:srgbClr>
                    </a:solidFill>
                  </pic:spPr>
                </pic:pic>
              </a:graphicData>
            </a:graphic>
          </wp:anchor>
        </w:drawing>
      </w:r>
    </w:p>
    <w:p>
      <w:pPr>
        <w:tabs>
          <w:tab w:val="left" w:pos="7215"/>
        </w:tabs>
        <w:ind w:left="120" w:firstLine="498" w:firstLineChars="178"/>
        <w:rPr>
          <w:rFonts w:hint="eastAsia" w:ascii="仿宋_GB2312" w:hAnsi="ˎ̥" w:eastAsia="仿宋_GB2312"/>
          <w:sz w:val="28"/>
          <w:szCs w:val="28"/>
        </w:rPr>
      </w:pPr>
    </w:p>
    <w:p>
      <w:pPr>
        <w:tabs>
          <w:tab w:val="left" w:pos="7215"/>
        </w:tabs>
        <w:ind w:left="120" w:firstLine="498" w:firstLineChars="178"/>
        <w:rPr>
          <w:rFonts w:hint="eastAsia" w:ascii="仿宋_GB2312" w:hAnsi="ˎ̥" w:eastAsia="仿宋_GB2312"/>
          <w:sz w:val="28"/>
          <w:szCs w:val="28"/>
        </w:rPr>
      </w:pPr>
    </w:p>
    <w:p>
      <w:pPr>
        <w:tabs>
          <w:tab w:val="left" w:pos="7215"/>
        </w:tabs>
        <w:ind w:left="120" w:firstLine="498" w:firstLineChars="178"/>
        <w:rPr>
          <w:rFonts w:hint="eastAsia" w:ascii="仿宋_GB2312" w:hAnsi="ˎ̥" w:eastAsia="仿宋_GB2312"/>
          <w:sz w:val="28"/>
          <w:szCs w:val="28"/>
        </w:rPr>
      </w:pPr>
    </w:p>
    <w:p>
      <w:pPr>
        <w:tabs>
          <w:tab w:val="left" w:pos="7215"/>
        </w:tabs>
        <w:ind w:left="120" w:firstLine="498" w:firstLineChars="178"/>
        <w:rPr>
          <w:rFonts w:hint="eastAsia" w:ascii="仿宋_GB2312" w:hAnsi="ˎ̥" w:eastAsia="仿宋_GB2312"/>
          <w:sz w:val="28"/>
          <w:szCs w:val="28"/>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25" w:name="_Toc2414"/>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第四部分</w:t>
      </w:r>
      <w:bookmarkEnd w:id="25"/>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26" w:name="_Toc3163"/>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【产品与技术】</w:t>
      </w:r>
      <w:bookmarkEnd w:id="26"/>
    </w:p>
    <w:p>
      <w:pPr>
        <w:tabs>
          <w:tab w:val="left" w:pos="7215"/>
        </w:tabs>
        <w:ind w:left="120" w:firstLine="498" w:firstLineChars="178"/>
        <w:rPr>
          <w:rFonts w:hint="eastAsia" w:ascii="仿宋_GB2312" w:hAnsi="ˎ̥" w:eastAsia="仿宋_GB2312"/>
          <w:sz w:val="28"/>
          <w:szCs w:val="28"/>
        </w:rPr>
      </w:pPr>
    </w:p>
    <w:p>
      <w:pPr>
        <w:tabs>
          <w:tab w:val="left" w:pos="7215"/>
        </w:tabs>
        <w:ind w:left="120" w:firstLine="498" w:firstLineChars="178"/>
        <w:rPr>
          <w:rFonts w:hint="eastAsia" w:ascii="仿宋_GB2312" w:hAnsi="ˎ̥" w:eastAsia="仿宋_GB2312"/>
          <w:sz w:val="28"/>
          <w:szCs w:val="28"/>
        </w:rPr>
      </w:pPr>
    </w:p>
    <w:p>
      <w:pPr>
        <w:tabs>
          <w:tab w:val="left" w:pos="7215"/>
        </w:tabs>
        <w:ind w:left="120" w:firstLine="498" w:firstLineChars="178"/>
        <w:rPr>
          <w:rFonts w:hint="eastAsia" w:ascii="仿宋_GB2312" w:hAnsi="ˎ̥" w:eastAsia="仿宋_GB2312"/>
          <w:sz w:val="28"/>
          <w:szCs w:val="28"/>
        </w:rPr>
      </w:pPr>
    </w:p>
    <w:p>
      <w:pPr>
        <w:tabs>
          <w:tab w:val="left" w:pos="7215"/>
        </w:tabs>
        <w:ind w:left="120" w:firstLine="498" w:firstLineChars="178"/>
        <w:rPr>
          <w:rFonts w:hint="eastAsia" w:ascii="仿宋_GB2312" w:hAnsi="ˎ̥" w:eastAsia="仿宋_GB2312"/>
          <w:sz w:val="28"/>
          <w:szCs w:val="28"/>
        </w:rPr>
      </w:pPr>
    </w:p>
    <w:p>
      <w:pPr>
        <w:tabs>
          <w:tab w:val="left" w:pos="7215"/>
        </w:tabs>
        <w:ind w:left="120" w:firstLine="498" w:firstLineChars="178"/>
        <w:rPr>
          <w:rFonts w:hint="eastAsia" w:ascii="仿宋_GB2312" w:hAnsi="ˎ̥" w:eastAsia="仿宋_GB2312"/>
          <w:sz w:val="28"/>
          <w:szCs w:val="28"/>
        </w:rPr>
      </w:pPr>
    </w:p>
    <w:p>
      <w:pPr>
        <w:tabs>
          <w:tab w:val="left" w:pos="7215"/>
        </w:tabs>
        <w:ind w:left="120" w:firstLine="498" w:firstLineChars="178"/>
        <w:rPr>
          <w:rFonts w:hint="eastAsia" w:ascii="仿宋_GB2312" w:hAnsi="ˎ̥" w:eastAsia="仿宋_GB2312"/>
          <w:sz w:val="28"/>
          <w:szCs w:val="28"/>
        </w:rPr>
      </w:pPr>
    </w:p>
    <w:p>
      <w:pPr>
        <w:tabs>
          <w:tab w:val="left" w:pos="7215"/>
        </w:tabs>
        <w:ind w:left="0" w:leftChars="0" w:firstLine="0" w:firstLineChars="0"/>
        <w:rPr>
          <w:rFonts w:hint="eastAsia" w:ascii="仿宋_GB2312" w:hAnsi="ˎ̥" w:eastAsia="仿宋_GB2312"/>
          <w:sz w:val="28"/>
          <w:szCs w:val="28"/>
        </w:rPr>
      </w:pPr>
    </w:p>
    <w:p>
      <w:pPr>
        <w:tabs>
          <w:tab w:val="left" w:pos="7215"/>
        </w:tabs>
        <w:ind w:left="120" w:firstLine="294"/>
        <w:rPr>
          <w:rFonts w:hint="eastAsia" w:ascii="仿宋_GB2312" w:hAnsi="ˎ̥" w:eastAsia="仿宋_GB2312"/>
          <w:sz w:val="28"/>
          <w:szCs w:val="28"/>
        </w:rPr>
      </w:pPr>
    </w:p>
    <w:p>
      <w:pPr>
        <w:tabs>
          <w:tab w:val="left" w:pos="7215"/>
        </w:tabs>
        <w:ind w:left="120" w:firstLine="294"/>
        <w:rPr>
          <w:rFonts w:hint="eastAsia" w:ascii="仿宋_GB2312" w:hAnsi="ˎ̥" w:eastAsia="仿宋_GB2312"/>
          <w:sz w:val="28"/>
          <w:szCs w:val="28"/>
        </w:rPr>
      </w:pPr>
    </w:p>
    <w:p>
      <w:pPr>
        <w:tabs>
          <w:tab w:val="left" w:pos="7215"/>
        </w:tabs>
        <w:ind w:left="120" w:firstLine="294"/>
        <w:rPr>
          <w:rFonts w:hint="eastAsia" w:ascii="仿宋_GB2312" w:hAnsi="ˎ̥" w:eastAsia="仿宋_GB2312"/>
          <w:sz w:val="28"/>
          <w:szCs w:val="28"/>
        </w:rPr>
      </w:pPr>
    </w:p>
    <w:p>
      <w:pPr>
        <w:tabs>
          <w:tab w:val="left" w:pos="7215"/>
        </w:tabs>
        <w:ind w:left="120" w:firstLine="294"/>
        <w:rPr>
          <w:rFonts w:hint="eastAsia" w:ascii="仿宋_GB2312" w:hAnsi="ˎ̥" w:eastAsia="仿宋_GB231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1"/>
        <w:rPr>
          <w:rFonts w:hint="eastAsia" w:ascii="仿宋" w:hAnsi="仿宋" w:eastAsia="仿宋" w:cs="仿宋"/>
          <w:b/>
          <w:bCs/>
          <w:color w:val="000000" w:themeColor="text1"/>
          <w:sz w:val="28"/>
          <w:szCs w:val="28"/>
          <w14:textFill>
            <w14:solidFill>
              <w14:schemeClr w14:val="tx1"/>
            </w14:solidFill>
          </w14:textFill>
        </w:rPr>
      </w:pPr>
      <w:bookmarkStart w:id="27" w:name="_Toc1337"/>
      <w:r>
        <w:rPr>
          <w:rFonts w:hint="eastAsia" w:ascii="仿宋" w:hAnsi="仿宋" w:eastAsia="仿宋" w:cs="仿宋"/>
          <w:b/>
          <w:bCs/>
          <w:sz w:val="28"/>
          <w:szCs w:val="28"/>
        </w:rPr>
        <w:t>（</w:t>
      </w:r>
      <w:r>
        <w:rPr>
          <w:rFonts w:hint="eastAsia" w:ascii="仿宋" w:hAnsi="仿宋" w:eastAsia="仿宋" w:cs="仿宋"/>
          <w:b/>
          <w:bCs/>
          <w:color w:val="000000" w:themeColor="text1"/>
          <w:sz w:val="28"/>
          <w:szCs w:val="28"/>
          <w14:textFill>
            <w14:solidFill>
              <w14:schemeClr w14:val="tx1"/>
            </w14:solidFill>
          </w14:textFill>
        </w:rPr>
        <w:t>一）公共WiFi覆盖量达8.51亿，腾讯WiFi管家打造多场景连网模式</w:t>
      </w:r>
      <w:bookmarkEnd w:id="27"/>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来源：中国网</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如今，不管是在火车站候车，还是在商场购物，连接公共WiFi上网都不再是难事。近日，腾讯安全联合实验室移动安全实验室发布了《2018年第一季度手机安全报告》（以下简称“报告”），从公共WiFi的数量、使用人群、潜在风险因素等角度分析了当前公共WiFi的现状，并提醒用户在公共场所连网时需注意手机安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公共WiFi总量达8.51亿，腾讯WiFi管家拓宽连网场景</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随着移动互联网的迅猛发展，WiFi的覆盖面越来越广。《报告》显示，2018年第一季度公共WiFi总量已经达到了8.51亿。这些公共WiFi的使用主体在性别上呈现出一个明显特征：男性用户占比略高于女性用户，达47.68%。</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作为一款专业的连网工具，腾讯WiFi管家不仅支持全国亿万热点免费连接，还注重拓宽多个连网场景，不断满足用户在不同公共场所下的连网需求。譬如，腾讯WiFi管家已经覆盖上海、广州、深圳、昆明、武汉和青岛等六座城市的地铁WiFi，弥补了以往地铁无网的空白，满足了用户搭乘地铁出行时的连网需求。</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广东、江苏和山东成风险WiFi三大重灾区，安全专家提醒用户注意连网安全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外出连接公共WiFi已经成了众多用户使用手机的常态，而在用户畅享连接公共WiFi上网的便利时，不法分子正虎视眈眈。《报告》显示，在2018年第一季度的公共WiFi中，风险WiFi占比达42.77%。其中，具有ARP攻击、DNS攻击或虚假WiFi行为的高风险WiFi占比虽然仅有0.35%，但其潜在的危害却很大；在地域分布上，广东、江苏和山东等经济发达或人口众多的省份是高风险WiFi的重灾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腾讯手机管家安全专家杨启波介绍，不法分子往往通过“伪基站”等在人流密集的公共区域搭建与正规公共WiFi热点名称相似的虚假WiFi，诱导用户连接。一旦用户连接进入钓鱼网址中，不法分子就会窃取他们的个人信息，包括身份信息、网银账号密码等隐私数据，给用户的手机安全和财产安全造成严重影响。此前，深圳一名男子在连接了一个免费公共WiFi后，手机感染病毒，银行卡瞬间遭盗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面对潜在的风险WiFi，腾讯WiFi管家提供了全面的WiFi安全解决方案，为用户营造稳定、安全、绿色的WiFi网络环境。其一，腾讯WiFi管家会根据五星WiFi标准向用户推荐网络快、网络安全的公共WiFi；其二，“风险检测”功能可以对上网环境进行关于ARP欺诈、DNS篡改、虚假钓鱼等全方位的安全检测，并根据风险项提示帮助用户避免连上风险WiFi，保护个人信息安全和手机安全；其三，腾讯WiFi管家特别设置安全支付通道，在用户支付时自动识别网络环境，并开启专属安全加密通道，保障用户支付安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 w:hAnsi="仿宋" w:eastAsia="仿宋" w:cs="仿宋"/>
          <w:kern w:val="0"/>
          <w:sz w:val="28"/>
          <w:szCs w:val="28"/>
        </w:rPr>
      </w:pPr>
      <w:r>
        <w:rPr>
          <w:rFonts w:hint="eastAsia" w:ascii="仿宋" w:hAnsi="仿宋" w:eastAsia="仿宋" w:cs="仿宋"/>
          <w:color w:val="000000" w:themeColor="text1"/>
          <w:sz w:val="28"/>
          <w:szCs w:val="28"/>
          <w14:textFill>
            <w14:solidFill>
              <w14:schemeClr w14:val="tx1"/>
            </w14:solidFill>
          </w14:textFill>
        </w:rPr>
        <w:t>腾讯WiFi管家作为一款专业的免费WiFi管理工具，不仅致力于为用户提供优质安全的连网环境，更从用户的实际需求出发，解决网络慢、延迟卡顿的难题，提升连网后的场景体验。腾讯WiFi管家在最新推出的Android3.4版本中上线了会员体系，用户通过应用极速下载、极速游戏通道和极速视频通道等特权福利，可以享受腾讯系应用加速，提升使用快感。</w:t>
      </w:r>
    </w:p>
    <w:p>
      <w:pPr>
        <w:tabs>
          <w:tab w:val="left" w:pos="540"/>
          <w:tab w:val="left" w:pos="3045"/>
          <w:tab w:val="left" w:pos="3402"/>
          <w:tab w:val="center" w:pos="4275"/>
        </w:tabs>
        <w:ind w:firstLine="0"/>
        <w:outlineLvl w:val="9"/>
        <w:rPr>
          <w:rFonts w:hint="eastAsia"/>
        </w:rPr>
      </w:pPr>
    </w:p>
    <w:p>
      <w:pPr>
        <w:tabs>
          <w:tab w:val="left" w:pos="540"/>
          <w:tab w:val="left" w:pos="3045"/>
          <w:tab w:val="left" w:pos="3402"/>
          <w:tab w:val="center" w:pos="4275"/>
        </w:tabs>
        <w:ind w:firstLine="0"/>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1"/>
        <w:rPr>
          <w:rFonts w:hint="eastAsia" w:ascii="仿宋" w:hAnsi="仿宋" w:eastAsia="仿宋" w:cs="仿宋"/>
          <w:b/>
          <w:bCs/>
          <w:sz w:val="28"/>
          <w:szCs w:val="28"/>
        </w:rPr>
      </w:pPr>
      <w:bookmarkStart w:id="28" w:name="_Toc11036"/>
      <w:r>
        <w:rPr>
          <w:rFonts w:hint="eastAsia" w:ascii="仿宋" w:hAnsi="仿宋" w:eastAsia="仿宋" w:cs="仿宋"/>
          <w:b/>
          <w:bCs/>
          <w:sz w:val="28"/>
          <w:szCs w:val="28"/>
        </w:rPr>
        <w:t>（二）阿里首席风险官郑俊芳：安全是生命线 将时刻保持敬畏心</w:t>
      </w:r>
      <w:bookmarkEnd w:id="28"/>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来源：人民网</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drawing>
          <wp:anchor distT="0" distB="0" distL="114300" distR="114300" simplePos="0" relativeHeight="251700224" behindDoc="1" locked="0" layoutInCell="1" allowOverlap="1">
            <wp:simplePos x="0" y="0"/>
            <wp:positionH relativeFrom="column">
              <wp:posOffset>0</wp:posOffset>
            </wp:positionH>
            <wp:positionV relativeFrom="paragraph">
              <wp:posOffset>350520</wp:posOffset>
            </wp:positionV>
            <wp:extent cx="3275330" cy="3573780"/>
            <wp:effectExtent l="0" t="0" r="1270" b="7620"/>
            <wp:wrapNone/>
            <wp:docPr id="26" name="图片 2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1"/>
                    <pic:cNvPicPr>
                      <a:picLocks noChangeAspect="1"/>
                    </pic:cNvPicPr>
                  </pic:nvPicPr>
                  <pic:blipFill>
                    <a:blip r:embed="rId14"/>
                    <a:stretch>
                      <a:fillRect/>
                    </a:stretch>
                  </pic:blipFill>
                  <pic:spPr>
                    <a:xfrm>
                      <a:off x="0" y="0"/>
                      <a:ext cx="3275330" cy="3573780"/>
                    </a:xfrm>
                    <a:prstGeom prst="rect">
                      <a:avLst/>
                    </a:prstGeom>
                  </pic:spPr>
                </pic:pic>
              </a:graphicData>
            </a:graphic>
          </wp:anchor>
        </w:drawing>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840" w:firstLineChars="400"/>
        <w:jc w:val="both"/>
        <w:textAlignment w:val="auto"/>
        <w:outlineLvl w:val="9"/>
        <w:rPr>
          <w:rFonts w:hint="eastAsia" w:ascii="仿宋" w:hAnsi="仿宋" w:eastAsia="仿宋" w:cs="仿宋"/>
          <w:sz w:val="21"/>
          <w:szCs w:val="21"/>
        </w:rPr>
      </w:pPr>
      <w:r>
        <w:rPr>
          <w:rFonts w:hint="eastAsia" w:ascii="仿宋" w:hAnsi="仿宋" w:eastAsia="仿宋" w:cs="仿宋"/>
          <w:sz w:val="21"/>
          <w:szCs w:val="21"/>
        </w:rPr>
        <w:t>阿里巴巴合伙人、首席风险官郑俊芳。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“过去，黑客发动一次攻击要花费1元钱，如今，黑客打开一个保险箱的成本就要100元，而保险箱里可能只有50元，这样‘得不偿失’的事，很多黑客就放弃了。”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4月27日，在北京展览馆举行的第五届“4.29首都网络安全日”系列活动上，阿里巴巴集团合伙人、首席风险官郑俊芳首先给黑客们算了一笔经济账。这是郑俊芳在出任集团首席风险官5个多月后，带领安全团队首次公开亮相。</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作为阿里在安全领域的负责人，在本次活动期间，郑俊芳接受了人民网IT频道的独家专访，就履新后如何保护信息安全、打击黑灰产等问题，阐释了自己的观点和建议。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“安全能力是由一砖一瓦垒起来的”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DDos攻击、回捞，在接受采访的过程中，这些对于一般互联网从业者都显得陌生的专业术语，郑俊芳在采访过程中“随口而出”，显然，履新五个月的她已经很快融入了新的角色。</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翻开郑俊芳的职场履历：在毕马威工作13年，加入阿里巴巴做到集团副CFO（副首席财务官），2015年12月成为阿里合伙人、平台治理部负责人（首席平台治理官），再到2017年12月出任集团首席风险官，同时掌管着平台治理部和安全部两个部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在出任集团首席风险官之前，郑俊芳最为人所知的身份就是阿里巴巴集团的“首席平台治理官”，负责整个阿里平台的知识产权保护和假冒伪劣产品的打击治理工作，在阿里内部，“师太”是郑俊芳的花名。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而在国内排名前列的几家互联网企业，从目前的公开报道中，郑俊芳应该是唯一的一位负责网络安全的女性高管。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从打击假货到打击“黑灰产”，从保护知识产权到保护平台及合作伙伴的信息安全，对于全新的角色、全新的使命、全新的挑战，郑俊芳应该如何应对？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 xml:space="preserve">对此，郑俊芳对人民网IT频道表示，“安全能力的建设，其实不是一时半会能建起来的，是我们过去十几年的沉淀，由一砖一瓦垒起来的。”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郑俊芳举例到：每年的“双11”，大家最紧张的就是零点开始后的那几分钟，会不会突然这个数字不动了，等前十分钟过去，基本上大家可以松口气。</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对于安全本身来说，郑俊芳认为，“就像现实世界里没有绝对完美的面孔一样，网络世界的漏洞永远存在。对于互联网公司而言，建立提早发现并迅速止血的能力，遏断黑客利用漏洞获取用户数据的企图，是一条值得努力追求的路。”</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面对成本与利益的博弈，提高违法成本是关键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国内安全产业的年营收规模大约在两三百亿，而国内‘黑灰产’的规模保守估算超过了1000亿。这种规模上的不对称，不仅导致了‘黑灰产’产业链的迅速膨胀，还带来了一系列的恶性循环。”去年，在某个安全峰会召开期间，一位国内安全产业资深从业者向人民网IT频道表述的这番话，道出了国内安全产业的尴尬。</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郑俊芳在加入阿里巴巴之前，曾在全球知名的会计师事务所工作多年，具有丰富的财务和审计经验，在她看来，无论是打击假货还是打击黑灰产，首先要算的是一笔“经济账”——成本收益比。</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因此，她才举了文章开头的那个案例，如果能从法律上、技术上让安全攻击无利可图、得不偿失，那么黑灰产的规模自然就会“崩塌”。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“我们做安全，就是让绝大部分的有这个能力的人不敢做，或者让他觉得冒险做了之后，要付出的代价太高，这跟打击假货是一样的道理。”郑俊芳说</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而具体到安全攻防上，就在于通过技术等手段，让攻击方成本上升而放弃攻击，“防控能力越高，黑客付出的成本就越高”。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除了技术手段，法律是更为有效的武器。郑俊芳建议，面对国内手段繁多的黑灰产，现有的法律还较难给其一一定性，可以通过现有的实践案例，先推动一些黑灰产能够清晰的进行认定，从而在根本上提高违法成本。</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安全是企业生命线，阿里投入海量人力物力</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“过去的一年里，阿里巴巴集团共受到2015次DDOS攻击，最大攻击流量777Gbps。这个数字，超过了整个杭州城的网民同时在线所使用的带宽。仅在淘宝平台，每天会有近400万次恶意尝试登录。”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如果把网络安全攻防当做为一个“猫鼠游戏”，如果要迅速地抓住“老鼠”，需要有海量的人力物力投入，对于像阿里这样的平台型企业，更是如此。</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郑俊芳向人民网IT频道介绍，目前阿里体系内仅专职安全人员就有几千人，安全业务使用的服务器消耗在集团也是靠前的。此外，对于阿里生态体系的所有企业，比如蚂蚁金服等，安全能力是共享的。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人民网IT频道注意到，在今年的首都网络安全宣传日上，阿里安全还首次带来了阿里安全旗下的八大实验室，并现场向公众展示各种日常安全知识。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郑俊芳表示，猎户座、双子座、潘多拉、图灵、米诺斯、归零、钱盾和蚂蚁金服光年八大安全实验室，都是在以技术构筑安全防护墙，“但我们深知，互联网时代，安全始终是我们的生命线，这世上没有绝对的安全。因此，每一天每一刻，阿里安全人都在保持敬畏之心，让自己更努力、让技术更进步、让模型更智能，只有不断探索世界级的风险控制体系，我们才能保护这个全球最大的电子商务平台，提供更可靠的服务，保护更多的消费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kern w:val="0"/>
          <w:sz w:val="28"/>
          <w:szCs w:val="28"/>
        </w:rPr>
      </w:pPr>
      <w:r>
        <w:rPr>
          <w:rFonts w:hint="eastAsia" w:ascii="仿宋" w:hAnsi="仿宋" w:eastAsia="仿宋" w:cs="仿宋"/>
          <w:sz w:val="28"/>
          <w:szCs w:val="28"/>
        </w:rPr>
        <w:t>“除了业务安全能力，并通过这些能力来解决现实的问题之外，我们要持续不断的加大我们在基础安全能力的研究。未来我们在这方面的投入只会加大，不会减少，希望我们能把全球最厉害的人能够吸引到我们的领域，能够帮我们做安全整个技术未来前瞻的布局。”郑俊芳说。</w:t>
      </w:r>
    </w:p>
    <w:p>
      <w:pPr>
        <w:tabs>
          <w:tab w:val="left" w:pos="540"/>
          <w:tab w:val="left" w:pos="3045"/>
          <w:tab w:val="left" w:pos="3402"/>
          <w:tab w:val="center" w:pos="4275"/>
        </w:tabs>
        <w:ind w:firstLine="0"/>
        <w:outlineLvl w:val="9"/>
        <w:rPr>
          <w:rFonts w:hint="eastAsia"/>
        </w:rPr>
      </w:pPr>
    </w:p>
    <w:p>
      <w:pPr>
        <w:tabs>
          <w:tab w:val="left" w:pos="540"/>
          <w:tab w:val="left" w:pos="3045"/>
          <w:tab w:val="left" w:pos="3402"/>
          <w:tab w:val="center" w:pos="4275"/>
        </w:tabs>
        <w:ind w:firstLine="0"/>
        <w:outlineLvl w:val="9"/>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1"/>
        <w:rPr>
          <w:rFonts w:hint="eastAsia" w:ascii="仿宋" w:hAnsi="仿宋" w:eastAsia="仿宋" w:cs="仿宋"/>
          <w:b/>
          <w:bCs/>
          <w:sz w:val="28"/>
          <w:szCs w:val="28"/>
        </w:rPr>
      </w:pPr>
      <w:bookmarkStart w:id="29" w:name="_Toc1966"/>
      <w:r>
        <w:rPr>
          <w:rFonts w:hint="eastAsia" w:ascii="仿宋" w:hAnsi="仿宋" w:eastAsia="仿宋" w:cs="仿宋"/>
          <w:b/>
          <w:bCs/>
          <w:sz w:val="28"/>
          <w:szCs w:val="28"/>
        </w:rPr>
        <w:t>（三）我国第一款自主研制的万兆网络控制器通过科技成果鉴定</w:t>
      </w:r>
      <w:bookmarkEnd w:id="29"/>
      <w:r>
        <w:rPr>
          <w:rFonts w:hint="eastAsia" w:ascii="仿宋" w:hAnsi="仿宋" w:eastAsia="仿宋" w:cs="仿宋"/>
          <w:b/>
          <w:bCs/>
          <w:sz w:val="28"/>
          <w:szCs w:val="28"/>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来源：人民网</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日前，中国指挥与控制学会在北京组织了“闪迅万兆网络智能控制器”科技成果鉴定会。倪光南、费爱国、王子才等11位中国工程院、科学院的两院院士，以及19位来自军队科研院所、军工集团、知名高校和企业的专家参加了会议。其中，中国工程院院士倪光南担任此次鉴定会主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drawing>
          <wp:inline distT="0" distB="0" distL="114300" distR="114300">
            <wp:extent cx="5426710" cy="3090545"/>
            <wp:effectExtent l="0" t="0" r="2540" b="14605"/>
            <wp:docPr id="29" name="图片 2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2"/>
                    <pic:cNvPicPr>
                      <a:picLocks noChangeAspect="1"/>
                    </pic:cNvPicPr>
                  </pic:nvPicPr>
                  <pic:blipFill>
                    <a:blip r:embed="rId15"/>
                    <a:stretch>
                      <a:fillRect/>
                    </a:stretch>
                  </pic:blipFill>
                  <pic:spPr>
                    <a:xfrm>
                      <a:off x="0" y="0"/>
                      <a:ext cx="5426710" cy="309054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 w:hAnsi="仿宋" w:eastAsia="仿宋" w:cs="仿宋"/>
          <w:sz w:val="21"/>
          <w:szCs w:val="21"/>
        </w:rPr>
      </w:pPr>
      <w:r>
        <w:rPr>
          <w:rFonts w:hint="eastAsia" w:ascii="仿宋" w:hAnsi="仿宋" w:eastAsia="仿宋" w:cs="仿宋"/>
          <w:sz w:val="21"/>
          <w:szCs w:val="21"/>
        </w:rPr>
        <w:t>工作人员现场为倪光南等院士专家展示“闪迅万兆网络智能控制器”项目科技成果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北京网迅科技有限公司研制的“闪迅万兆网络智能控制器”是计算与存储设备必备的核心部件，主要作用是负责设备连接网络时输入输出数据的控制与处理，如果将服务器设备中的CPU比做“司令官”，以太网控制器芯片则是“通信兵”，起着至关重要的作用。该控制器采用28nm HPC工艺流片，逻辑电路数量达1800万门，片上SRAM容量达到25Mbit，支持PCIE3.0串行总线主机接口与SFI/KR等以太网接口，不仅具备传统以太网控制器的数据适配功能，还集成了网络流量管理、安全管理、网络加速、网络融合以及网络虚拟化等一系列重要功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与会院士、专家认为,该成果针对国家信息产业转型的现实和网络高端芯片国产化需求，研发出国内第一款具有自主知识产权的企业级万兆以太网控制器芯片，对于打破国外垄断，确保国家信息安全具有十分重要的意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此外，该成果设计新颖，技术先进，难度很大，自主可控。在分层DMA队列架构、虚拟机热迁移网路无缝切换和交叉切片等方面有重大创新，整体技术达到国际先进水平。数据包平均传输时延、实际小包传输速率等指标达到业界公开的最高水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近年来，习近平总书记在很多重要场合反复强调自主创新、铸国之重器的重要性。“只有把核心技术掌握在自己手中，才能真正掌握竞争和发展的主动权，才能从根本上保障国家经济安全、国防安全和其他安全。”针对国家信息安全和电子基础产业自主发展的战略需求，北京网迅科技有限公司历时五年的潜心研制，成功打造出了“闪迅万兆网络智能控制器”，为我国集成电路的自主发展打入了一剂“强心针”，对于改变网络基础产品关键芯片长期依赖国外的现状，打破发达国家“禁售”贸易壁垒，提升我国信息系统的自主可控和安全可信能力，具有重大的战略意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据悉，该成果目前已在浪潮、中科曙光、宝德等国产服务器和前海信息、容数科技等大数据存储设备中得到应用，可以满足国外同类产品的国产化替代需求，能够为党政机关、军队单位和金融机构规模应用提供有力支撑。</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r>
        <w:rPr>
          <w:rFonts w:hint="eastAsia" w:ascii="仿宋_GB2312" w:hAnsi="ˎ̥" w:eastAsia="仿宋_GB2312"/>
          <w:color w:val="auto"/>
          <w:sz w:val="28"/>
          <w:szCs w:val="28"/>
        </w:rPr>
        <w:drawing>
          <wp:anchor distT="0" distB="0" distL="114300" distR="114300" simplePos="0" relativeHeight="251659264" behindDoc="1" locked="0" layoutInCell="1" allowOverlap="1">
            <wp:simplePos x="0" y="0"/>
            <wp:positionH relativeFrom="column">
              <wp:posOffset>-1141095</wp:posOffset>
            </wp:positionH>
            <wp:positionV relativeFrom="paragraph">
              <wp:posOffset>-910590</wp:posOffset>
            </wp:positionV>
            <wp:extent cx="8229600" cy="10810875"/>
            <wp:effectExtent l="19050" t="0" r="0" b="0"/>
            <wp:wrapNone/>
            <wp:docPr id="137" name="图片 159"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59" descr="0072"/>
                    <pic:cNvPicPr>
                      <a:picLocks noChangeAspect="1" noChangeArrowheads="1"/>
                    </pic:cNvPicPr>
                  </pic:nvPicPr>
                  <pic:blipFill>
                    <a:blip r:embed="rId10" cstate="print">
                      <a:lum bright="70000" contrast="-70000"/>
                    </a:blip>
                    <a:srcRect/>
                    <a:stretch>
                      <a:fillRect/>
                    </a:stretch>
                  </pic:blipFill>
                  <pic:spPr>
                    <a:xfrm>
                      <a:off x="0" y="0"/>
                      <a:ext cx="8229600" cy="10810875"/>
                    </a:xfrm>
                    <a:prstGeom prst="rect">
                      <a:avLst/>
                    </a:prstGeom>
                    <a:solidFill>
                      <a:srgbClr val="CCFFCC">
                        <a:alpha val="0"/>
                      </a:srgbClr>
                    </a:solidFill>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0" w:name="_Toc18485"/>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第五部分</w:t>
      </w:r>
      <w:bookmarkEnd w:id="30"/>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1" w:name="_Toc282"/>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【通知与政策】</w:t>
      </w:r>
      <w:bookmarkEnd w:id="31"/>
    </w:p>
    <w:p>
      <w:pPr>
        <w:tabs>
          <w:tab w:val="left" w:pos="7215"/>
        </w:tabs>
        <w:ind w:left="120" w:firstLine="294"/>
        <w:rPr>
          <w:rFonts w:hint="eastAsia" w:ascii="仿宋_GB2312" w:hAnsi="ˎ̥" w:eastAsia="仿宋_GB2312"/>
          <w:sz w:val="28"/>
          <w:szCs w:val="28"/>
        </w:rPr>
      </w:pPr>
    </w:p>
    <w:p>
      <w:pPr>
        <w:tabs>
          <w:tab w:val="left" w:pos="7215"/>
        </w:tabs>
        <w:ind w:left="120" w:firstLine="294"/>
        <w:rPr>
          <w:rFonts w:hint="eastAsia" w:ascii="仿宋_GB2312" w:hAnsi="ˎ̥" w:eastAsia="仿宋_GB2312"/>
          <w:sz w:val="28"/>
          <w:szCs w:val="28"/>
        </w:rPr>
      </w:pPr>
    </w:p>
    <w:p>
      <w:pPr>
        <w:tabs>
          <w:tab w:val="left" w:pos="7215"/>
        </w:tabs>
        <w:rPr>
          <w:rFonts w:hint="eastAsia" w:ascii="仿宋_GB2312" w:hAnsi="ˎ̥" w:eastAsia="仿宋_GB2312"/>
          <w:sz w:val="28"/>
          <w:szCs w:val="28"/>
        </w:rPr>
      </w:pPr>
    </w:p>
    <w:p>
      <w:pPr>
        <w:tabs>
          <w:tab w:val="left" w:pos="7215"/>
        </w:tabs>
        <w:ind w:left="120" w:firstLine="294"/>
        <w:rPr>
          <w:rFonts w:hint="eastAsia" w:ascii="仿宋_GB2312" w:hAnsi="ˎ̥" w:eastAsia="仿宋_GB2312"/>
          <w:sz w:val="28"/>
          <w:szCs w:val="28"/>
        </w:rPr>
      </w:pPr>
    </w:p>
    <w:p>
      <w:pPr>
        <w:tabs>
          <w:tab w:val="left" w:pos="7215"/>
        </w:tabs>
        <w:ind w:left="120" w:firstLine="294"/>
        <w:rPr>
          <w:rFonts w:hint="eastAsia" w:ascii="仿宋_GB2312" w:hAnsi="ˎ̥" w:eastAsia="仿宋_GB2312"/>
          <w:sz w:val="28"/>
          <w:szCs w:val="28"/>
        </w:rPr>
      </w:pPr>
    </w:p>
    <w:p>
      <w:pPr>
        <w:tabs>
          <w:tab w:val="left" w:pos="7215"/>
        </w:tabs>
        <w:rPr>
          <w:rFonts w:hint="eastAsia" w:ascii="仿宋_GB2312" w:hAnsi="ˎ̥" w:eastAsia="仿宋_GB2312"/>
          <w:sz w:val="28"/>
          <w:szCs w:val="28"/>
        </w:rPr>
      </w:pPr>
    </w:p>
    <w:p>
      <w:pPr>
        <w:tabs>
          <w:tab w:val="left" w:pos="7215"/>
        </w:tabs>
        <w:ind w:left="120" w:firstLine="294"/>
        <w:rPr>
          <w:rFonts w:hint="eastAsia" w:ascii="仿宋_GB2312" w:hAnsi="ˎ̥" w:eastAsia="仿宋_GB2312"/>
          <w:sz w:val="28"/>
          <w:szCs w:val="28"/>
        </w:rPr>
      </w:pPr>
    </w:p>
    <w:p>
      <w:pPr>
        <w:tabs>
          <w:tab w:val="left" w:pos="7215"/>
        </w:tabs>
        <w:ind w:left="120" w:firstLine="294"/>
        <w:rPr>
          <w:rFonts w:hint="eastAsia" w:ascii="仿宋_GB2312" w:hAnsi="ˎ̥" w:eastAsia="仿宋_GB2312"/>
          <w:sz w:val="28"/>
          <w:szCs w:val="28"/>
        </w:rPr>
      </w:pPr>
    </w:p>
    <w:p>
      <w:pPr>
        <w:tabs>
          <w:tab w:val="left" w:pos="7215"/>
        </w:tabs>
        <w:ind w:left="120" w:firstLine="294"/>
        <w:rPr>
          <w:rFonts w:hint="eastAsia" w:ascii="仿宋_GB2312" w:hAnsi="ˎ̥" w:eastAsia="仿宋_GB2312"/>
          <w:color w:val="auto"/>
          <w:sz w:val="28"/>
          <w:szCs w:val="28"/>
        </w:rPr>
      </w:pPr>
    </w:p>
    <w:p>
      <w:pPr>
        <w:tabs>
          <w:tab w:val="left" w:pos="7215"/>
        </w:tabs>
        <w:ind w:left="120" w:firstLine="294"/>
        <w:rPr>
          <w:rFonts w:hint="eastAsia" w:ascii="仿宋_GB2312" w:hAnsi="ˎ̥" w:eastAsia="仿宋_GB2312"/>
          <w:color w:val="auto"/>
          <w:sz w:val="28"/>
          <w:szCs w:val="28"/>
        </w:rPr>
      </w:pPr>
    </w:p>
    <w:p>
      <w:pPr>
        <w:ind w:left="120" w:firstLine="220"/>
        <w:rPr>
          <w:color w:val="auto"/>
        </w:rPr>
      </w:pPr>
    </w:p>
    <w:p>
      <w:pPr>
        <w:ind w:left="120" w:firstLine="220"/>
        <w:rPr>
          <w:color w:val="auto"/>
        </w:rPr>
      </w:pP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1"/>
        <w:rPr>
          <w:rFonts w:hint="eastAsia" w:ascii="仿宋" w:hAnsi="仿宋" w:eastAsia="仿宋" w:cs="仿宋"/>
          <w:b/>
          <w:bCs/>
          <w:kern w:val="2"/>
          <w:sz w:val="28"/>
          <w:szCs w:val="28"/>
          <w:lang w:eastAsia="zh-CN"/>
        </w:rPr>
      </w:pPr>
      <w:bookmarkStart w:id="32" w:name="_Toc12148"/>
      <w:r>
        <w:rPr>
          <w:rFonts w:hint="eastAsia" w:ascii="仿宋" w:hAnsi="仿宋" w:eastAsia="仿宋" w:cs="仿宋"/>
          <w:b/>
          <w:bCs/>
          <w:kern w:val="2"/>
          <w:sz w:val="28"/>
          <w:szCs w:val="28"/>
          <w:lang w:eastAsia="zh-CN"/>
        </w:rPr>
        <w:t>成都市人民政府办公厅关于大力发展高新技术服务业支撑产业功能区及园区建设增强西部科技中心功能的实施意见</w:t>
      </w:r>
      <w:bookmarkEnd w:id="32"/>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bCs/>
          <w:kern w:val="2"/>
          <w:sz w:val="28"/>
          <w:szCs w:val="28"/>
          <w:lang w:eastAsia="zh-CN"/>
        </w:rPr>
      </w:pPr>
      <w:r>
        <w:rPr>
          <w:rFonts w:hint="eastAsia" w:ascii="仿宋" w:hAnsi="仿宋" w:eastAsia="仿宋" w:cs="仿宋"/>
          <w:b/>
          <w:bCs/>
          <w:kern w:val="2"/>
          <w:sz w:val="28"/>
          <w:szCs w:val="28"/>
          <w:lang w:eastAsia="zh-CN"/>
        </w:rPr>
        <w:t>来源：</w:t>
      </w:r>
      <w:r>
        <w:rPr>
          <w:rFonts w:hint="eastAsia" w:ascii="仿宋" w:hAnsi="仿宋" w:eastAsia="仿宋" w:cs="仿宋"/>
          <w:b/>
          <w:bCs/>
          <w:color w:val="000000" w:themeColor="text1"/>
          <w:sz w:val="28"/>
          <w:szCs w:val="28"/>
          <w:lang w:eastAsia="zh-CN"/>
          <w14:textFill>
            <w14:solidFill>
              <w14:schemeClr w14:val="tx1"/>
            </w14:solidFill>
          </w14:textFill>
        </w:rPr>
        <w:t>成都市人民政府门户网站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各区（市）县政府，市政府各部门：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高新技术服务业是运用高新技术为科技创新和科技成果转化提供支撑服务的新兴服务产业，是科技服务业的高端业态。加快发展高新技术服务业，对我市优化产业结构、推进产业功能区建设和创新驱动发展具有重要意义。为落实成都产业发展大会、新经济发展大会精神，加快发展高新技术服务业，结合我市实际提出以下实施意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一、总体要求</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以习近平新时代中国特色社会主义思想为指导，全面贯彻党的十九大和省、市党代会精神，以服务高新技术项目、孵化高新技术企业、培育高新技术产业为目的，以产业功能区及园区为载体，以有效连接创新供给与需求、提升产业创新能力为导向，坚持市场化、专业化发展方向，构建贯通创新链、融入产业链、对接资本链的高新技术服务体系，加速创新资源高度集聚和优化配置，为加快建设产业功能区及园区提供有力支撑，不断增强西部科技中心功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二、发展目标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到2020年，培育一批拥有知名品牌的龙头高新技术服务企业和创新能力强、专业水平高、服务效果好的中小型高新技术服务机构，全市规上高新技术服务机构达到1000家，高新技术服务业从业人员达到25万人，高新技术服务业年度总收入超过2000亿元，基本形成覆盖科技创新全链条的高新技术服务体系，涌现一批新型高新技术服务业态，形成一批高新技术服务产业集群，高新技术服务业支撑新技术研发、高新技术企业成长、新经济发展的能力大幅增强，高新技术服务市场化水平和国际竞争力明显提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三、重点发展领域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（一）高新技术服务业重点服务的产业领域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1.新经济领域。重点服务数字经济、智能经济、绿色经济、创意经济、流量经济、共享经济六大新经济产业形态的科技型企业发展，重点支持服务实体经济能力提升、智慧城市建设示范、“双创”平台提能增效、人力资本协同示范、消费提档升级、绿色低碳建设示范、现代供应链创新应用七大新经济应用场景。</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2.先进制造业领域。重点服务电子信息、汽车制造、食品饮料、装备制造、生物医药五大支柱产业，航空航天、轨道交通、节能环保、新材料、新能源五大优势产业，人工智能、精准医疗、虚拟现实、传感控制、增材制造等未来产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（二）重点发展的高新技术服务业领域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1.研究开发服务。重点支持以持续进行研究开发活动为基础，为科技型企业提供技术成果、技术研发、产品开发等外包服务。积极发展信息技术外包服务、技术性业务流程外包服务、技术性知识流程外包服务等技术先进型服务业态，利用“互联网+”、大数据、人工智能等新技术为科技型企业的运营管理、生产销售、客户关系、人力资源、财务管理等提供解决方案及服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2.知识产权服务。积极发展面向科技型企业的知识产权价值评估、代理、咨询检索、运营、许可交易、投融资、保护维权等市场化服务。重点支持专利导航创新发展、专利预警分析等服务。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3.科技咨询服务。重点发展以人才资源优势、专业知识储备为基础，面向重点产业及科技型企业发展提供针对性强的咨询服务，具体包括科技战略研究、行业技术咨询、科技招投标、科技项目管理外包、科技情报信息、科技查新与文献检索和科技型企业战略决策咨询、治理结构优化、财务管理、税务规划、人力资源、法律咨询、政策咨询等服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4.科技金融服务。鼓励发展为科技型企业提供中长期股权投资的天使投资、创业投资、风险投资等金融机构。重点支持为科技研发项目、科技型企业提供融资策划、尽职调查、信用评级、价值评估等服务，实现金融机构与科技型企业的常态化、交互式对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5.技术转移服务。发展为实现和加速技术成果从供给方向需求方转移所提供的各类服务，重点支持技术经纪、技术评估、技术交易、技术集成与经营等领域专业化、市场化的技术转移转化服务机构，培养科技特派员、技术经纪人等技术转移人才队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6.孵化载体服务。重点发展众创空间（创业苗圃）、孵化器、加速器等创新创业载体服务。积极培育创业咖啡、孵化社区、联合办公、创新工场等新型孵化载体服务。鼓励面向我市重点产业领域建立专业众创空间和专业化孵化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7.检验检测认证服务。积极发展依据相关标准或技术规范，利用仪器设备、环境设施等技术条件和专业技能，面向科技型企业设计开发、生产制造、售后服务等全过程提供的观测、分析、测试、检验、标准、认证等服务。重点支持面向重点产业领域搭建一批融合检验检测、分析试验、标准研制、技术研发、培训咨询功能的检验检测公共服务平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四、主要任务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（一）突破体制机制，释放高新技术服务业发展活力</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1.强化高新技术服务连接创新需求与供给的重要作用，建立健全与市场经济相适应、符合市场规律和国际惯例的高新技术服务体制机制，大力培育高新技术服务领域的新技术、新产业、新业态、新模式，助力产学研用协同创新体系建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2.深化科研领域“放管服”改革，推广职务科技成果混合所有制改革，提高科技成果转化需求。创新财政科技投入方式，由财政资金直接资助企业技术创新转变为政府购买高新技术服务支持科技型企业发展，增强企业对高新技术服务的需求，进一步促进高新技术服务市场化发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3.建设完善高新技术服务业标准体系，开展高新技术服务认定管理，有序放开高新技术服务市场准入，营造平等参与、公平竞争的发展环境，激发各类高新技术服务主体活力。</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（二）构建“两核、多区、多点”的高新技术服务特色聚集区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1.支持高新技术服务“两核”领先发展，支持成都天府新区依托鹿溪智谷建设，高端起步、引领示范，打造高新技术服务核心承载区，重点发展研发设计、知识产权、检验检测、科技金融、技术转移等高新技术服务业；支持成都高新区依托国家自主创新示范区建设，打造先导性知识经济圈，积极布局创业苗圃、孵化器、加速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2.推进高新技术服务“多区”突破发展，支持各区（市）县围绕区域内高校院所和大企业大集团，集聚要素资源、实施重点突破，着力建设一批环高校知识经济圈、大学科技创新园、军民融合创新园、创新创业聚集区、科技研发服务总部聚集区等高新技术服务业功能区，加快培育创新生态链，辐射支撑全市重点产业发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3.促进高新技术服务“多点”特色发展，支持各区（市）县结合区域产业基础和科技创新需求，围绕产业链部署创新链，引进培育一批细分领域的知名高新技术服务机构，在产业园区中布局技术研发中心、科技创新平台、技术转移中心、检验检测认证中心等，支撑重点产业生态圈建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（三）打造产业发展高端公共服务平台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1.按照“贯通创新链、融入产业链、对接资本链”理念，优化升级“科创通”科技创新服务平台，建设“成都市高新技术服务超市”，增强线上线下功能。线上聚集高校院所学科、技术、人才等创新要素和央企、省企大型仪器设备、产业链配套需求、市场推广渠道等优势资源，实现高新技术服务产品的标准化、网络化、品牌化；线下针对不同产业功能区、细分行业领域、具体企业的情况，在每个产业功能区及园区建设实体高新技术服务产品超市，委托行业协会等机构牵头，组织高校院所和央企、省企的有关团队，为产业功能区及园区入驻企业提供市场化、差异化精准服务，打造服务全省、辐射全国、合作全球的区域综合高新技术服务平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2.支持各类创新主体联合高校、科研院所和高新技术服务机构等产学研用多方，共建新型产业技术研究院、产业技术创新联盟、高新技术服务业协会等行业组织，瞄准产业前沿尖端技术、紧密结合市场需求开展企业孵化、技术研发、成果转化、人才培养等服务，为细分产业提供行业研究、决策参考、技术服务等共性服务，开展行业技术发展峰会等交流合作，提升产业话语权和影响力，不断增强产业发展竞争力。</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（四）做大做强高新技术服务市场主体</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1.支持在蓉研发机构建设，对新获批（授牌）的“2011协同创新中心”一次性给予200万元资助，对新批准建设的国家重点实验室、国家工程研究中心、国家技术创新中心、国家临床医学研究中心等一次性给予100万元资助，对新批准的市级研发机构给予最高50万元补贴。支持世界500强外资企业在蓉设立国际性研发机构，开展技术研发、成果转化、企业孵化服务，给予最高200万元的研发经费资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2.支持建设知识产权服务机构，对新获批的国家级知识产权保护中心、快速维权中心等国家级公共服务机构一次性给予100万元资助。引导设立总规模不低于20亿元的知识产权运营基金，投资孵化知识产权运营服务机构，推动知识资本、金融资本和新经济的深度融合。建设成都知识产权维权援助专家智库，采取政府购买服务的方式，为企业提供知识产权维权援助服务。支持行业骨干龙头企业、新型产业技术研究院、高校院所等打造高价值专利培育中心，给予最高100万元奖励。</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3.加快培育先进技术服务企业。鼓励运用信息技术外包服务、技术性业务流程外包服务、技术性知识流程外包服务、高技术专业化服务等为各类科技型企业发展壮大提供有力支撑。支持先进技术服务企业积极申报国家技术先进型服务企业。对符合条件的先进技术服务企业给予最高20万元补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4.支持培育一批技术转移服务示范机构，对新获批的国家、省、市级技术转移示范机构分别一次性给予50万元、20万元、10万元补贴。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5.完善覆盖全域和企业成长全程的“创业苗圃+孵化器+加速器+产业化基地”科技孵化培育链，对新建的市级科技创业苗圃、科技企业孵化器、科技企业加速器、双创载体聚集区，分别一次性给予其运营机构30万元、50万元、100万元、150万元经费资助；对新认定的国家级孵化器、大学科技园等国家级创新创业载体，分别一次性给予其运营机构100万元经费资助；对新引进的国内外知名创新型孵化器运营机构来蓉建设创新创业载体，给予最高不超过500万元的一次性经费补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6.支持各类高新技术服务机构为科技型企业开展研究开发、检验检测、知识产权、技术咨询、企业管理咨询等服务，采取科技创新券的形式，根据高新技术服务绩效及服务合同金额，按单个项目服务费用10%给予奖励，单个机构年度奖励总额最高20万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7.支持高新技术服务机构联合产学研用多方，重点面向新经济应用场景，运用现代信息技术建设“科学家经纪人”“工程师共享平台”“云实验室”“虚拟实验与制造平台”“新型高端知识服务平台”等新型创新服务平台，研究科技资源数据分析与精准服务、科技咨询服务模块化、开放式科技云服务系统等关键核心技术，构建分布式专业服务体系，培育研发众包、网络众筹等服务新业态，为科技型企业共享高端人才、技术成果、先进设备等创新资源要素，经评审可给予最高100万元经费资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五、保障措施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一）加强组织领导。加强高新技术服务业的组织协调和发展规划，统筹做好行业发展顶层设计和布局。加强各部门的沟通协调，积极探索跨部门合作新机制。加强省、市沟通合作和市、区（市）县联动，各区（市）县要加强对高新技术服务业发展工作的组织领导和统筹协调，形成有利于高新技术服务业发展的工作体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（二）建立服务信用体系。倡导建立成都高新技术服务业协会，建立高新技术服务企业名录库，开展高新技术服务机构评估评价，强化高新技术服务业自律管理和规范发展。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三）加强人才队伍建设。建立完善高新技术服务业专家库。完善高新技术服务业引才引智机制，着力引进一批懂技术、懂市场、懂管理的复合型高新技术服务人才。积极培养技术经纪人、创业导师和技术成果评估、科技金融服务、科技咨询、专利运营、项目管理等领域的专业服务人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四）加大财政扶持力度。贯彻落实与高新技术服务业相关的各项税收优惠政策和价格优惠政策。加大市财政科技经费对高新技术服务业发展的支持力度，探索以政府购买服务的方式支持高新技术服务业发展，按照政府购买服务的有关规定组织实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五）完善行业统计监测。根据《国家科技服务业统计分类（2015）》（国家统计局令第15号）和成都高新技术服务业发展特点，建立健全适应高新技术服务业发展的统计指标体系，定期对统计监测结果进行评估，为产业研究、政策制定和投资决策提供科学、系统的决策依据。建立高新技术服务业发展考评制度和考评办法，及时、客观地评价高新技术服务业的发展质量、速度和效益，引导高新技术服务业健康发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本意见自印发之日起30日后施行，有效期3年。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成都市人民政府办公厅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kern w:val="2"/>
          <w:sz w:val="28"/>
          <w:szCs w:val="28"/>
          <w:lang w:eastAsia="zh-CN"/>
        </w:rPr>
      </w:pPr>
      <w:r>
        <w:rPr>
          <w:rFonts w:hint="eastAsia" w:ascii="仿宋" w:hAnsi="仿宋" w:eastAsia="仿宋" w:cs="仿宋"/>
          <w:b w:val="0"/>
          <w:bCs w:val="0"/>
          <w:kern w:val="2"/>
          <w:sz w:val="28"/>
          <w:szCs w:val="28"/>
          <w:lang w:eastAsia="zh-CN"/>
        </w:rPr>
        <w:t>2018年4月28日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bCs/>
          <w:kern w:val="2"/>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bCs/>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bCs/>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1"/>
        <w:rPr>
          <w:rFonts w:hint="eastAsia" w:ascii="仿宋" w:hAnsi="仿宋" w:eastAsia="仿宋" w:cs="仿宋"/>
          <w:b/>
          <w:bCs/>
          <w:kern w:val="2"/>
          <w:sz w:val="28"/>
          <w:szCs w:val="28"/>
        </w:rPr>
      </w:pPr>
      <w:bookmarkStart w:id="33" w:name="_Toc32758"/>
      <w:r>
        <w:rPr>
          <w:rFonts w:hint="eastAsia" w:ascii="仿宋" w:hAnsi="仿宋" w:eastAsia="仿宋" w:cs="仿宋"/>
          <w:b/>
          <w:bCs/>
          <w:kern w:val="2"/>
          <w:sz w:val="28"/>
          <w:szCs w:val="28"/>
        </w:rPr>
        <w:t>（</w:t>
      </w:r>
      <w:r>
        <w:rPr>
          <w:rFonts w:hint="eastAsia" w:ascii="仿宋" w:hAnsi="仿宋" w:eastAsia="仿宋" w:cs="仿宋"/>
          <w:b/>
          <w:bCs/>
          <w:kern w:val="2"/>
          <w:sz w:val="28"/>
          <w:szCs w:val="28"/>
          <w:lang w:eastAsia="zh-CN"/>
        </w:rPr>
        <w:t>二</w:t>
      </w:r>
      <w:r>
        <w:rPr>
          <w:rFonts w:hint="eastAsia" w:ascii="仿宋" w:hAnsi="仿宋" w:eastAsia="仿宋" w:cs="仿宋"/>
          <w:b/>
          <w:bCs/>
          <w:kern w:val="2"/>
          <w:sz w:val="28"/>
          <w:szCs w:val="28"/>
        </w:rPr>
        <w:t>）《关于大力发展高新技术服务业支撑产业功能区及园区建设增强西部科技中心功能的实施意见》政策解读</w:t>
      </w:r>
      <w:bookmarkEnd w:id="33"/>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bCs/>
          <w:kern w:val="2"/>
          <w:sz w:val="28"/>
          <w:szCs w:val="28"/>
          <w:lang w:eastAsia="zh-CN"/>
        </w:rPr>
      </w:pPr>
      <w:r>
        <w:rPr>
          <w:rFonts w:hint="eastAsia" w:ascii="仿宋" w:hAnsi="仿宋" w:eastAsia="仿宋" w:cs="仿宋"/>
          <w:b/>
          <w:bCs/>
          <w:kern w:val="2"/>
          <w:sz w:val="28"/>
          <w:szCs w:val="28"/>
          <w:lang w:eastAsia="zh-CN"/>
        </w:rPr>
        <w:t>来源：</w:t>
      </w:r>
      <w:r>
        <w:rPr>
          <w:rFonts w:hint="eastAsia" w:ascii="仿宋" w:hAnsi="仿宋" w:eastAsia="仿宋" w:cs="仿宋"/>
          <w:b/>
          <w:bCs/>
          <w:color w:val="000000" w:themeColor="text1"/>
          <w:sz w:val="28"/>
          <w:szCs w:val="28"/>
          <w:lang w:eastAsia="zh-CN"/>
          <w14:textFill>
            <w14:solidFill>
              <w14:schemeClr w14:val="tx1"/>
            </w14:solidFill>
          </w14:textFill>
        </w:rPr>
        <w:t>成都市人民政府门户网站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为贯彻落实市委经济工作会议和成都产业发展大会、新经济发展大会决策部署，大力发展高新技术服务业，努力提升高新技术服务对我市产业功能区及园区建设的支撑能力，形成经济发展新动能，进一步增强西部科技中心功能，制定《关于大力发展高新技术服务业支撑产业功能区及园区建设增强西部科技中心功能的实施意见》（以下简称：《实施意见》）。为抓好《实施意见》的贯彻落实，特进行政策解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一、制定《实施意见》的重要意义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高新技术服务业是以实现服务高新技术项目、孵化高新技术企业、培育高新技术产业为目的，运用高新技术、现代科技知识等要素为科技创新和科技成果转化的商业化运作提供支撑服务的新兴服务产业，是科技服务业的高端部分，对于建设产业功能区及园区，构建产业生态圈创新生态链，发展新经济培育新动能有着重要作用。加快高新技术服务业发展，不仅能够将高新技术服务业培育形成新经济新动能，同时将有效促进我市高新技术产业发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因此，制定《实施意见》，对我市高新技术服务业发展的指导思想和发展目标、重点发展领域、主要任务、保障措施等方面做出顶层设计，对于加快推进高新技术服务业发展，支撑全市产业功能区及园区建设，增强西部科技中心功能具有十分重要的意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二、政策依据和法律法规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2017年7月，成都产业发展大会提出了“大力发展高新技术服务业，增强西部科技中心功能”的总体部署，明确“加快发展高新技术服务业,能够促进创新资源高度集聚和合理配置,推动创新供给和需求有效对接,实现服务高新技术项目、孵化高新技术企业、培育高新技术产业的目的”，提出政产学研用要形成战略同盟和利益共同体，共同构建贯通创新链、融入产业链、对接资本链的高新技术服务体系，促进创新资源集聚运用和创新成果转化，打造高新技术服务机构汇聚、科技成果转移转化高效、技术交易市场活跃的西部科技中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为贯彻落实成都产业发展大会和新经济发展大会精神，《关于创新要素供给培育产业生态提升国家中心城市产业能级若干政策措施的意见》（成委发〔2017〕23号）、《关于营造新生态发展新经济培育新动能的意见》（成委发〔2017〕32号）等要求，结合成都市产业功能区及园区建设需要，制定了《实施意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三、《实施意见》形成过程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实施意见》起草过程中，认真学习研究了《国务院关于加快科技服务业发展的若干意见》（国发〔2014〕49号）、《“十三五”现代服务业科技创新专项规划》（国科发高〔2017〕91号）等文件精神，先后组织有关区（市）县行业主管部门、在蓉部分企业召开成都市高新技术服务业发展专题讨论会，学习借鉴北京、上海、广州、深圳等高新技术服务业发达地区经验做法。在总结近年来我市科技创新服务体系建设实践的基础上，结合成都当前发展实际需要，充分征求相关市级部门及区（市）县、有关行业专家及企业的意见，通过市政府法制办合法性审查，形成《实施意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四、《实施意见》的总体思路</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实施意见》注重构建贯通创新链、融入产业链、对接资本链的高新技术服务体系，充分整合研发机构资助、科技金融资助、技术市场补贴、知识产权资助、创新创业载体资助、科技创新券等现有支持高新技术服务业发展的政策工具，新增“支持高新技术服务聚集区建设、培育高新技术服务机构、实施高新技术服务业应用示范项目”等措施，旨在构建系统推进我市高新技术服务业发展的政策体系，实现服务高新技术项目、孵化高新技术企业、培育高新技术产业的目的，支撑全市产业功能区及园区建设，加快培育形成新经济新动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五、《实施意见》主要内容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《实施意见》包括指导思想和发展目标、重点发展领域、主要任务、保障措施等四个方面，具体如下：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一）关于指导思想和发展目标。《实施意见》中明确了高新技术服务业以服务高新技术项目、孵化高新技术企业、培育高新技术产业为目标，以产业功能区及园区为载体，以满足科技创新需求和提升产业创新能力为导向，通过校院企地深度融合、高新技术服务市场主体培育，提升高新技术服务的市场竞争能力，到2020年，规上高新技术服务机构达到1000家，高新技术服务业从业人员达到25万人，高新技术服务业年度总收入超过2000亿元，基本形成覆盖科技创新全链条的高新技术服务体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二）关于重点发展领域。根据《国务院关于加快科技服务业发展的若干意见》（国发〔2014〕49号）、《“十三五”现代服务业科技创新专项规划》（国科发高〔2017〕91号）等文件精神，结合成都实际和发展需要，《实施意见》中明确我市高新技术服务业重点发展七大服务领域，即：研究开发服务、知识产权服务、科技咨询服务、科技金融服务、技术转移服务、孵化载体服务和检验检测认证服务，基本覆盖了全周期、全要素的高新技术服务产业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三）关于主要任务。《实施意见》提出了发展高新技术服务业四大主要任务，即：突破体制机制，释放高新技术服务业发展活力；构建“两核、多区、多点”的高新技术服务特色聚集区；打造产业发展高端公共服务平台；做大做强高新技术服务市场主体。其中，整合现有资源提出了支持高新技术服务市场主体发展的具体政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（四）关于保障措施。《实施意见》明确通过加强组织领导、建立服务信用体系、加强人才队伍建设、加大财政扶持力度、完善行业统计监测，建立健全《实施意见》落实的制度机制。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六、《实施意见》突显的地方特色</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一是通过高新技术服务业的成都解读，明确“高新技术服务业”以服务高新技术项目、孵化高新技术企业、培育高新技术产业为目的，为科技创新和科技成果转化的商业化运作提供服务，是科技服务业的高端部分，服务的对象主要是科技型企业，不包括科学技术普及服务以及直接针对普通大众的科技服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二是以产业功能区及园区为载体，建设“两核、多区、多点”的高新技术服务特色聚集区，构建2+M+N的高新技术服务业聚集区体系。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三是依托高新技术服务业发展，重点布局新经济应用场景，促进新技术、新模式、新业态、新经济发展。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解读机构：成都市科技局（高新技术发展及产业化处）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解读人:申林</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r>
        <w:rPr>
          <w:rFonts w:hint="eastAsia" w:ascii="仿宋" w:hAnsi="仿宋" w:eastAsia="仿宋" w:cs="仿宋"/>
          <w:kern w:val="2"/>
          <w:sz w:val="28"/>
          <w:szCs w:val="28"/>
        </w:rPr>
        <w:t>解读电话：61881731</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r>
        <w:rPr>
          <w:rFonts w:ascii="仿宋_GB2312" w:hAnsi="ˎ̥" w:eastAsia="仿宋_GB2312"/>
          <w:sz w:val="28"/>
          <w:szCs w:val="28"/>
        </w:rPr>
        <w:drawing>
          <wp:anchor distT="0" distB="0" distL="114300" distR="114300" simplePos="0" relativeHeight="251662336" behindDoc="1" locked="0" layoutInCell="1" allowOverlap="1">
            <wp:simplePos x="0" y="0"/>
            <wp:positionH relativeFrom="column">
              <wp:posOffset>-1149350</wp:posOffset>
            </wp:positionH>
            <wp:positionV relativeFrom="paragraph">
              <wp:posOffset>-910590</wp:posOffset>
            </wp:positionV>
            <wp:extent cx="8113395" cy="13000355"/>
            <wp:effectExtent l="19050" t="0" r="2070" b="0"/>
            <wp:wrapNone/>
            <wp:docPr id="136" name="图片 288"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288" descr="0072"/>
                    <pic:cNvPicPr>
                      <a:picLocks noChangeAspect="1" noChangeArrowheads="1"/>
                    </pic:cNvPicPr>
                  </pic:nvPicPr>
                  <pic:blipFill>
                    <a:blip r:embed="rId10" cstate="print">
                      <a:lum bright="70000" contrast="-70000"/>
                    </a:blip>
                    <a:srcRect/>
                    <a:stretch>
                      <a:fillRect/>
                    </a:stretch>
                  </pic:blipFill>
                  <pic:spPr>
                    <a:xfrm>
                      <a:off x="0" y="0"/>
                      <a:ext cx="8113230" cy="13000383"/>
                    </a:xfrm>
                    <a:prstGeom prst="rect">
                      <a:avLst/>
                    </a:prstGeom>
                    <a:solidFill>
                      <a:srgbClr val="CCFFCC">
                        <a:alpha val="0"/>
                      </a:srgbClr>
                    </a:solidFill>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kern w:val="2"/>
          <w:sz w:val="28"/>
          <w:szCs w:val="28"/>
        </w:rPr>
      </w:pPr>
    </w:p>
    <w:p>
      <w:pPr>
        <w:ind w:left="0" w:leftChars="0" w:firstLine="0" w:firstLineChars="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4" w:name="_Toc1963"/>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第六部分</w:t>
      </w:r>
      <w:bookmarkEnd w:id="34"/>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5" w:name="_Toc8465"/>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【管理与创新】</w:t>
      </w:r>
      <w:bookmarkEnd w:id="35"/>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1"/>
        <w:rPr>
          <w:rFonts w:hint="eastAsia" w:ascii="仿宋" w:hAnsi="仿宋" w:eastAsia="仿宋" w:cs="仿宋"/>
          <w:b/>
          <w:bCs/>
          <w:kern w:val="2"/>
          <w:sz w:val="28"/>
          <w:szCs w:val="28"/>
          <w:shd w:val="clear" w:color="auto" w:fill="auto"/>
        </w:rPr>
      </w:pPr>
      <w:bookmarkStart w:id="36" w:name="_Toc11971"/>
      <w:r>
        <w:rPr>
          <w:rFonts w:hint="eastAsia" w:ascii="仿宋" w:hAnsi="仿宋" w:eastAsia="仿宋" w:cs="仿宋"/>
          <w:b/>
          <w:bCs/>
          <w:kern w:val="2"/>
          <w:sz w:val="28"/>
          <w:szCs w:val="28"/>
          <w:shd w:val="clear" w:color="auto" w:fill="auto"/>
        </w:rPr>
        <w:t>（一）华为是如何培养管理者的？</w:t>
      </w:r>
      <w:bookmarkEnd w:id="36"/>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kern w:val="2"/>
          <w:sz w:val="28"/>
          <w:szCs w:val="28"/>
          <w:shd w:val="clear" w:color="auto" w:fill="auto"/>
        </w:rPr>
      </w:pPr>
      <w:r>
        <w:rPr>
          <w:rFonts w:hint="eastAsia" w:ascii="仿宋" w:hAnsi="仿宋" w:eastAsia="仿宋" w:cs="仿宋"/>
          <w:b/>
          <w:bCs/>
          <w:kern w:val="2"/>
          <w:sz w:val="28"/>
          <w:szCs w:val="28"/>
          <w:shd w:val="clear" w:color="auto" w:fill="auto"/>
          <w:lang w:val="en-US" w:eastAsia="zh-CN"/>
        </w:rPr>
        <w:t>来源：</w:t>
      </w:r>
      <w:r>
        <w:rPr>
          <w:rFonts w:hint="eastAsia" w:ascii="仿宋" w:hAnsi="仿宋" w:eastAsia="仿宋" w:cs="仿宋"/>
          <w:b/>
          <w:bCs/>
          <w:kern w:val="2"/>
          <w:sz w:val="28"/>
          <w:szCs w:val="28"/>
          <w:shd w:val="clear" w:color="auto" w:fill="auto"/>
          <w:lang w:val="en-US" w:eastAsia="zh-CN"/>
        </w:rPr>
        <w:fldChar w:fldCharType="begin"/>
      </w:r>
      <w:r>
        <w:rPr>
          <w:rFonts w:hint="eastAsia" w:ascii="仿宋" w:hAnsi="仿宋" w:eastAsia="仿宋" w:cs="仿宋"/>
          <w:b/>
          <w:bCs/>
          <w:kern w:val="2"/>
          <w:sz w:val="28"/>
          <w:szCs w:val="28"/>
          <w:shd w:val="clear" w:color="auto" w:fill="auto"/>
          <w:lang w:val="en-US" w:eastAsia="zh-CN"/>
        </w:rPr>
        <w:instrText xml:space="preserve"> HYPERLINK "https://mp.weixin.qq.com/javascript:void(0);" </w:instrText>
      </w:r>
      <w:r>
        <w:rPr>
          <w:rFonts w:hint="eastAsia" w:ascii="仿宋" w:hAnsi="仿宋" w:eastAsia="仿宋" w:cs="仿宋"/>
          <w:b/>
          <w:bCs/>
          <w:kern w:val="2"/>
          <w:sz w:val="28"/>
          <w:szCs w:val="28"/>
          <w:shd w:val="clear" w:color="auto" w:fill="auto"/>
          <w:lang w:val="en-US" w:eastAsia="zh-CN"/>
        </w:rPr>
        <w:fldChar w:fldCharType="separate"/>
      </w:r>
      <w:r>
        <w:rPr>
          <w:rFonts w:hint="eastAsia" w:ascii="仿宋" w:hAnsi="仿宋" w:eastAsia="仿宋" w:cs="仿宋"/>
          <w:b/>
          <w:bCs/>
          <w:kern w:val="2"/>
          <w:sz w:val="28"/>
          <w:szCs w:val="28"/>
          <w:shd w:val="clear" w:color="auto" w:fill="auto"/>
        </w:rPr>
        <w:t>管理智慧</w:t>
      </w:r>
      <w:r>
        <w:rPr>
          <w:rFonts w:hint="eastAsia" w:ascii="仿宋" w:hAnsi="仿宋" w:eastAsia="仿宋" w:cs="仿宋"/>
          <w:b/>
          <w:bCs/>
          <w:kern w:val="2"/>
          <w:sz w:val="28"/>
          <w:szCs w:val="28"/>
          <w:shd w:val="clear" w:color="auto" w:fill="auto"/>
          <w:lang w:val="en-US" w:eastAsia="zh-CN"/>
        </w:rPr>
        <w:fldChar w:fldCharType="end"/>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华为管理者的成长大致遵循“‘士兵’（基层员工）——‘英雄’（骨干员工）——‘班长’（基层管理者）——‘将军’（中高层管理者）”的职业发展路径。根据华为公司人才培养工作的实践特点，华为管理者的培养过程划分为三个阶段：</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“将军是打出来的”</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对于华为的基层员工，任正非强调“要在自己很狭窄的范围内，干一行、爱一行、专一行，而不再鼓励他们从这个岗位跳到另一个岗位”。</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“士兵”要在本职岗位上不断提高业务水平和绩效产出，当然，公司也允许基层员工在很小的一个面上有弹性地流动和晋升。</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1.基层员工如何实现晋升？</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与其他企业的做法不同，华为对于干部只强调选拔，不主张培养和任命。公司的干部不是培养出来的，而是选拔出来的，干部需要通过实际工作证明自己的能力。</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2.选拔的标准是什么？</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基层经验与成功的实践，“每个人都应该从最基层的项目开始做起，将来才会长大，如果通过烟囱直接走到高层领导来的，最大的缺点就是不知道基础具体的操作，很容易脱离实际。”</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因此，将军必须从实践产生，而且是从成功的实践中产生。公司的组织建设也与军队的组织建设类似，先上战场，再建组织。</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干部的“之”字形成长</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证明是不是好种子，要看实践，实践好了再给他机会，循环做大项目，将来再担负更大的重任，十年下来就是将军了。人力资源管理部和华大要加强对种子的管理，种子到各地去干几年以后，不要沉淀下来了，把他忘记了，优秀种子回炉以后，可以往上将上校上走。”</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有管理潜力的人才通过基层实践选拔出来后，将进入培训与实战相结合的阶段，此时公司会提供跨部门跨区域的岗位轮换和相应的赋能培训。</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“自古以来，英雄都是班长以下的战士。那么英雄将来的出路是什么呢？要善于学习，扩大视野，提升自己的能力”。</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人力资源部和片联负责选拔优秀的管理型人才进行循环轮换。此阶段也加入组织层面的赋能培训任务，由华为大学承担。</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1.循环轮换</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在训战结合中对于“战”的部分，华为学习美国航空母舰舰长的培养机制，关注干部的“之”字形成长。“直线”成长起来的干部缺少担负全面发展和协调性强的事务的实践历练。</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“过去我们的干部都是‘直线’型成长，对于横向的业务什么都不明白，所以，现在我们要加快干部的‘之’字形发展。”</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“之”字成长意味着岗位循环与轮换。华为基本法规定：“没有周边工作经验的人，不能担任部门主管。没有基层工作经验的人，不能担任科以上干部。”</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各部门将负责帮助新流动进来的人员尽快融入和成长。循环流动的人员到了新部门，也要通过学习去适应新环境和新工作。</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任正非同时也强调干部的循环流动是根据业务需要，不是为了流动而流动。</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比如搞概算、合同场景，只需要少部分人跨全球使用，但要求多数人能跨区域使用。为了培养一支有实践能力的队伍，我们才流动。我们只会给可能上航母当舰长的人进行循环流动；其他职员不需要海外经验，也不需要流动。职员族固定下来，干一行、爱一行、专一行。所以不是为了干部成长去流动，而是你成长了，就给你流动机会。”</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2.赋能</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训战结合阶段中“训”的部分主要由华为大学承担，华大通过短训赋能输出“能担当并愿意担当的人才”。</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为此，华为大学教育学院基于“管事”和“管人”两个角度专门开发了相关培训项目——后备干部项目管理与经营短训项目（简称“青训班”）和一线管理者培训项目（First-LineManager Leadership Program，简称“FLMP”）。</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（1）管事：项目管理——青训班</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项目管理是华为公司管理的基本细胞，被视为是公司最重要的一种管理。</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任正非说过：“美军从士兵升到将军有一个资格条件，要曾做过班长。将来华为干部资格要求一定要是成功的项目经理，有成功的项目实践经验。”“项目管理做不好的干部，去管理代表处和地区部就是昏君。”因此，华为以项目管理为主线去培养后备干部。</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以拉通端到端项目管理和经营为主要培训目标的“青训班”，其覆盖人群是将来要成为一线干部的后备人才，旨在为公司未来以项目为中心的科学管理奠定基础。</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青训班项目并不仅仅包括课程讲授，而是一个包括自学、课堂、实战等环节的系统赋能项目。</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（2）管人：从骨干到管理者的转身——FLMP</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对于一个志在未来成为“将军”的华为人来说，仅靠业务的项目管理赋能是不够的。一名合格的基层管理者，不仅会“管事”，还要会“管人”。</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随着公司业务发展，新任干部持续上岗，如何使他们尽快完成“转身”并帮助他们持续提升管理能力呢？</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华为大学教育学院推出了专门为基层管理者设计的FLMP项目，旨在帮助学员完成从骨干（个人贡献者）到管理者的转身，并“点燃每个基层管理者的内心之火”。</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作为基层管理者的“班长”，承上启下，在公司责任重大。正如FLMP 项目负责人在2014 年华为大学项目荣誉奖评选宣讲会上讲到：“点燃这1.5 万基层管理者的内心之火，就意味着通过他们可点燃所有一线员工！”</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同青训班类似，FLMP 也是一个集学习研讨、在岗实践、述职答辩与综合验收于一体的系统性赋能项目。</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理念、文化与哲学的“发酵”</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在华为，从基层到高层培养是不断收敛的，会逐步挑选出越来越优秀的人员。</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在金子塔尖这层人，最主要是抓住方向。”走过训战阶段进入高阶后，干部若想成长为真正的将军，进一步成为战略领袖和思想领袖，就要使“自己的视野宽广一些、思想活跃一些，要从‘术’上的先进，跨越到‘道’上的领路，进而在商业、技术模式上进行创造”。</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为此，华为要求高层干部要学习公司文件，领会高层智慧精华。“我们公司很多高级干部根本不学习公司文件，他们是凭着自己的经验在干活，这样的干部是一定会被淘汰掉的。”</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为帮助中高级干部实现“术”向“道”的转变，公司规定每位高级干部都必须参与华为大学的干部高级管理研讨项目，简称高研班，亦堪称华为的“抗大”。</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高研班的主要目标不仅是让学员理解并应用干部管理的政策、制度和管理方法工具，更重要的是组织学员研讨公司核心战略和管理理念，传递公司管理哲学和核心价值观。</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和一般企业大学的做法不同，华大的高研班向每位参训学员收取20000元的学费，学费由学员个人承担，目的是为了让每位参训干部增强自主学习的意识，而且不经过高研班培训的干部不予提拔。</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据华为大学相关人员介绍，华为公司核心管理理念及管理方法源于华为的核心价值观，承载了华为二十多年管理实践中的成功经验和失败教训，是干部保持正确的管理方向、带领团队成功的基础和前提。</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干部参加高级管理研讨班，旨在促进干部对公司核心管理理念和管理方法的深入理解和综合运用，同时通过高层亲自授课和考察，识别可能进入公司关键管理岗位的优秀干部苗子。目前，每年走过“高级管理研讨班”的学员约1000 多人。</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管理者的成长路径总结</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1. 基层历练阶段，基层员工以技术技能开发为主。</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华为强调基层员工在本职岗位上“埋头苦干”，干一行爱一行，不提倡基层员工换岗。正如新员工培训班“领导座谈”课程环节中某位高级干部在对刚入职的员工的寄语中提到：</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“希望大家走上工作岗位之后，要踏踏实实地把业务基础打好。本职岗位前几年在扎根，一旦扎下之后，你会成长地很快。”</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2. 训战结合阶段，成为“班长”后的干部以人际技能开发为主，技术技能开发与概念技能开发为辅，实现管理能力的全面提升。</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青训班项目重在开发项目管理能力，拉通项目管理的全流程，使受训者从本职岗位的单一视角扩展到项目管理全过程的整体视角，体现了技术技能的开发。</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FLMP 项目对基层管理者在团队管理与激励等方面进行团队领导力赋能，实现“士兵”到“仕官”的角色转变，有效开发人际技能。</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3. 理论收敛阶段，要想成为真正的“将军”，中高级干部需要“有大视野，大到天文地理，但更要能放能收”，实现“术”向“道”的转变。具体来说，学员通过干部高级管理研讨班系统研讨，把实践经验总结上升到理论高度，深度发酵。这一过程的重点是概念技能的开发，从组织层面出发，建构战略管理与公司文化管理思维。</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20" w:firstLineChars="150"/>
        <w:jc w:val="left"/>
        <w:textAlignment w:val="auto"/>
        <w:outlineLvl w:val="9"/>
        <w:rPr>
          <w:rFonts w:hint="eastAsia" w:ascii="仿宋" w:hAnsi="仿宋" w:eastAsia="仿宋" w:cs="仿宋"/>
          <w:kern w:val="2"/>
          <w:sz w:val="28"/>
          <w:szCs w:val="28"/>
          <w:shd w:val="clear" w:color="auto" w:fill="auto"/>
        </w:rPr>
      </w:pPr>
      <w:r>
        <w:rPr>
          <w:rFonts w:hint="eastAsia" w:ascii="仿宋" w:hAnsi="仿宋" w:eastAsia="仿宋" w:cs="仿宋"/>
          <w:kern w:val="2"/>
          <w:sz w:val="28"/>
          <w:szCs w:val="28"/>
          <w:shd w:val="clear" w:color="auto" w:fill="auto"/>
        </w:rPr>
        <w:t>根据上述分析，我们以重点开发的技能维度和不同培养阶段为坐标轴，可以建立“管理者成长路径模型”。沿此路径，华为的管理者逐步完成从“士兵”到“将军”的进阶。</w:t>
      </w:r>
    </w:p>
    <w:p>
      <w:pPr>
        <w:widowControl/>
        <w:shd w:val="clear" w:color="auto" w:fill="FFFFFF"/>
        <w:spacing w:line="429" w:lineRule="atLeast"/>
        <w:ind w:left="0" w:leftChars="0" w:firstLine="0" w:firstLineChars="0"/>
        <w:rPr>
          <w:rFonts w:ascii="仿宋_GB2312" w:eastAsia="仿宋_GB2312"/>
          <w:kern w:val="0"/>
          <w:sz w:val="28"/>
          <w:szCs w:val="28"/>
        </w:rPr>
      </w:pPr>
    </w:p>
    <w:p>
      <w:pPr>
        <w:widowControl/>
        <w:shd w:val="clear" w:color="auto" w:fill="FFFFFF"/>
        <w:spacing w:line="429" w:lineRule="atLeast"/>
        <w:ind w:left="0" w:leftChars="0" w:firstLine="0" w:firstLineChars="0"/>
        <w:rPr>
          <w:rFonts w:ascii="仿宋_GB2312" w:eastAsia="仿宋_GB2312"/>
          <w:kern w:val="0"/>
          <w:sz w:val="28"/>
          <w:szCs w:val="28"/>
        </w:rPr>
      </w:pPr>
    </w:p>
    <w:p>
      <w:pPr>
        <w:widowControl/>
        <w:shd w:val="clear" w:color="auto" w:fill="FFFFFF"/>
        <w:spacing w:line="429" w:lineRule="atLeast"/>
        <w:ind w:left="0" w:leftChars="0" w:firstLine="0" w:firstLineChars="0"/>
        <w:rPr>
          <w:rFonts w:ascii="仿宋_GB2312" w:eastAsia="仿宋_GB2312"/>
          <w:kern w:val="0"/>
          <w:sz w:val="28"/>
          <w:szCs w:val="28"/>
        </w:rPr>
      </w:pPr>
    </w:p>
    <w:p>
      <w:pPr>
        <w:widowControl/>
        <w:shd w:val="clear" w:color="auto" w:fill="FFFFFF"/>
        <w:spacing w:line="429" w:lineRule="atLeast"/>
        <w:ind w:left="0" w:leftChars="0" w:firstLine="0" w:firstLineChars="0"/>
        <w:rPr>
          <w:rFonts w:ascii="仿宋_GB2312" w:eastAsia="仿宋_GB2312"/>
          <w:kern w:val="0"/>
          <w:sz w:val="28"/>
          <w:szCs w:val="28"/>
        </w:rPr>
      </w:pPr>
    </w:p>
    <w:p>
      <w:pPr>
        <w:widowControl/>
        <w:shd w:val="clear" w:color="auto" w:fill="FFFFFF"/>
        <w:spacing w:line="429" w:lineRule="atLeast"/>
        <w:ind w:left="0" w:leftChars="0" w:firstLine="0" w:firstLineChars="0"/>
        <w:rPr>
          <w:rFonts w:ascii="仿宋_GB2312" w:eastAsia="仿宋_GB2312"/>
          <w:kern w:val="0"/>
          <w:sz w:val="28"/>
          <w:szCs w:val="28"/>
        </w:rPr>
      </w:pPr>
    </w:p>
    <w:p>
      <w:pPr>
        <w:widowControl/>
        <w:shd w:val="clear" w:color="auto" w:fill="FFFFFF"/>
        <w:spacing w:line="429" w:lineRule="atLeast"/>
        <w:ind w:left="0" w:leftChars="0" w:firstLine="0" w:firstLineChars="0"/>
        <w:rPr>
          <w:rFonts w:ascii="仿宋_GB2312" w:eastAsia="仿宋_GB2312"/>
          <w:kern w:val="0"/>
          <w:sz w:val="28"/>
          <w:szCs w:val="28"/>
        </w:rPr>
      </w:pPr>
    </w:p>
    <w:p>
      <w:pPr>
        <w:widowControl/>
        <w:shd w:val="clear" w:color="auto" w:fill="FFFFFF"/>
        <w:spacing w:line="429" w:lineRule="atLeast"/>
        <w:ind w:left="0" w:leftChars="0" w:firstLine="0" w:firstLineChars="0"/>
        <w:rPr>
          <w:rFonts w:ascii="仿宋_GB2312" w:eastAsia="仿宋_GB2312"/>
          <w:kern w:val="0"/>
          <w:sz w:val="28"/>
          <w:szCs w:val="28"/>
        </w:rPr>
      </w:pPr>
    </w:p>
    <w:p>
      <w:pPr>
        <w:widowControl/>
        <w:shd w:val="clear" w:color="auto" w:fill="FFFFFF"/>
        <w:spacing w:line="429" w:lineRule="atLeast"/>
        <w:ind w:left="0" w:leftChars="0" w:firstLine="0" w:firstLineChars="0"/>
        <w:rPr>
          <w:rFonts w:ascii="仿宋_GB2312" w:eastAsia="仿宋_GB2312"/>
          <w:kern w:val="0"/>
          <w:sz w:val="28"/>
          <w:szCs w:val="28"/>
        </w:rPr>
      </w:pPr>
    </w:p>
    <w:p>
      <w:pPr>
        <w:widowControl/>
        <w:shd w:val="clear" w:color="auto" w:fill="FFFFFF"/>
        <w:spacing w:line="429" w:lineRule="atLeast"/>
        <w:ind w:left="0" w:leftChars="0" w:firstLine="0" w:firstLineChars="0"/>
        <w:rPr>
          <w:rFonts w:ascii="仿宋_GB2312" w:eastAsia="仿宋_GB2312"/>
          <w:kern w:val="0"/>
          <w:sz w:val="28"/>
          <w:szCs w:val="28"/>
        </w:rPr>
      </w:pPr>
    </w:p>
    <w:p>
      <w:pPr>
        <w:widowControl/>
        <w:shd w:val="clear" w:color="auto" w:fill="FFFFFF"/>
        <w:spacing w:line="429" w:lineRule="atLeast"/>
        <w:ind w:left="0" w:leftChars="0" w:firstLine="0" w:firstLineChars="0"/>
        <w:rPr>
          <w:rFonts w:ascii="仿宋_GB2312" w:eastAsia="仿宋_GB2312"/>
          <w:kern w:val="0"/>
          <w:sz w:val="28"/>
          <w:szCs w:val="28"/>
        </w:rPr>
      </w:pPr>
    </w:p>
    <w:p>
      <w:pPr>
        <w:widowControl/>
        <w:shd w:val="clear" w:color="auto" w:fill="FFFFFF"/>
        <w:spacing w:line="429" w:lineRule="atLeast"/>
        <w:ind w:left="0" w:leftChars="0" w:firstLine="0" w:firstLineChars="0"/>
        <w:rPr>
          <w:rFonts w:ascii="仿宋_GB2312" w:eastAsia="仿宋_GB2312"/>
          <w:kern w:val="0"/>
          <w:sz w:val="28"/>
          <w:szCs w:val="28"/>
        </w:rPr>
      </w:pPr>
    </w:p>
    <w:p>
      <w:pPr>
        <w:widowControl/>
        <w:shd w:val="clear" w:color="auto" w:fill="FFFFFF"/>
        <w:spacing w:line="429" w:lineRule="atLeast"/>
        <w:ind w:left="0" w:leftChars="0" w:firstLine="0" w:firstLineChars="0"/>
        <w:rPr>
          <w:rFonts w:ascii="仿宋_GB2312" w:eastAsia="仿宋_GB2312"/>
          <w:kern w:val="0"/>
          <w:sz w:val="28"/>
          <w:szCs w:val="28"/>
        </w:rPr>
      </w:pPr>
    </w:p>
    <w:p>
      <w:pPr>
        <w:widowControl/>
        <w:shd w:val="clear" w:color="auto" w:fill="FFFFFF"/>
        <w:spacing w:line="429" w:lineRule="atLeast"/>
        <w:ind w:left="0" w:leftChars="0" w:firstLine="0" w:firstLineChars="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widowControl/>
        <w:shd w:val="clear" w:color="auto" w:fill="FFFFFF"/>
        <w:spacing w:line="429" w:lineRule="atLeast"/>
        <w:ind w:left="0" w:leftChars="0" w:firstLine="0" w:firstLineChars="0"/>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drawing>
          <wp:anchor distT="0" distB="0" distL="114300" distR="114300" simplePos="0" relativeHeight="251648000" behindDoc="1" locked="0" layoutInCell="1" allowOverlap="1">
            <wp:simplePos x="0" y="0"/>
            <wp:positionH relativeFrom="column">
              <wp:posOffset>-1160145</wp:posOffset>
            </wp:positionH>
            <wp:positionV relativeFrom="paragraph">
              <wp:posOffset>-931545</wp:posOffset>
            </wp:positionV>
            <wp:extent cx="8115300" cy="16678275"/>
            <wp:effectExtent l="19050" t="0" r="0" b="0"/>
            <wp:wrapNone/>
            <wp:docPr id="135" name="图片 29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293" descr="0072"/>
                    <pic:cNvPicPr>
                      <a:picLocks noChangeAspect="1" noChangeArrowheads="1"/>
                    </pic:cNvPicPr>
                  </pic:nvPicPr>
                  <pic:blipFill>
                    <a:blip r:embed="rId10" cstate="print">
                      <a:lum bright="70000" contrast="-70000"/>
                    </a:blip>
                    <a:srcRect/>
                    <a:stretch>
                      <a:fillRect/>
                    </a:stretch>
                  </pic:blipFill>
                  <pic:spPr>
                    <a:xfrm>
                      <a:off x="0" y="0"/>
                      <a:ext cx="8115300" cy="16678275"/>
                    </a:xfrm>
                    <a:prstGeom prst="rect">
                      <a:avLst/>
                    </a:prstGeom>
                    <a:solidFill>
                      <a:srgbClr val="CCFFCC">
                        <a:alpha val="0"/>
                      </a:srgbClr>
                    </a:solidFill>
                  </pic:spPr>
                </pic:pic>
              </a:graphicData>
            </a:graphic>
          </wp:anchor>
        </w:drawing>
      </w: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7" w:name="_Toc30130"/>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第七部分</w:t>
      </w:r>
      <w:bookmarkEnd w:id="37"/>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8" w:name="_Toc6085"/>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【会展资讯】</w:t>
      </w:r>
      <w:bookmarkEnd w:id="38"/>
    </w:p>
    <w:p>
      <w:pPr>
        <w:ind w:left="120" w:firstLine="294"/>
        <w:outlineLvl w:val="9"/>
        <w:rPr>
          <w:rFonts w:ascii="仿宋_GB2312" w:eastAsia="仿宋_GB2312" w:cs="宋体"/>
          <w:kern w:val="0"/>
          <w:sz w:val="28"/>
          <w:szCs w:val="28"/>
        </w:rPr>
      </w:pPr>
    </w:p>
    <w:p>
      <w:pPr>
        <w:ind w:left="120" w:firstLine="294"/>
        <w:outlineLvl w:val="9"/>
        <w:rPr>
          <w:rFonts w:ascii="仿宋_GB2312" w:eastAsia="仿宋_GB2312" w:cs="宋体"/>
          <w:kern w:val="0"/>
          <w:sz w:val="28"/>
          <w:szCs w:val="28"/>
        </w:rPr>
      </w:pPr>
    </w:p>
    <w:p>
      <w:pPr>
        <w:ind w:left="120" w:firstLine="294"/>
        <w:outlineLvl w:val="9"/>
        <w:rPr>
          <w:rFonts w:ascii="仿宋_GB2312" w:eastAsia="仿宋_GB2312" w:cs="宋体"/>
          <w:kern w:val="0"/>
          <w:sz w:val="28"/>
          <w:szCs w:val="28"/>
        </w:rPr>
      </w:pPr>
    </w:p>
    <w:p>
      <w:pPr>
        <w:ind w:left="120" w:firstLine="189"/>
        <w:outlineLvl w:val="9"/>
        <w:rPr>
          <w:color w:val="FFFFFF" w:themeColor="background1"/>
          <w:kern w:val="0"/>
          <w:sz w:val="18"/>
          <w:szCs w:val="18"/>
          <w14:textFill>
            <w14:solidFill>
              <w14:schemeClr w14:val="bg1"/>
            </w14:solidFill>
          </w14:textFill>
        </w:rPr>
      </w:pPr>
    </w:p>
    <w:p>
      <w:pPr>
        <w:ind w:left="120" w:firstLine="189"/>
        <w:outlineLvl w:val="9"/>
        <w:rPr>
          <w:color w:val="FFFFFF" w:themeColor="background1"/>
          <w:kern w:val="0"/>
          <w:sz w:val="18"/>
          <w:szCs w:val="18"/>
          <w14:textFill>
            <w14:solidFill>
              <w14:schemeClr w14:val="bg1"/>
            </w14:solidFill>
          </w14:textFill>
        </w:rPr>
      </w:pPr>
    </w:p>
    <w:p>
      <w:pPr>
        <w:ind w:left="120" w:firstLine="189"/>
        <w:outlineLvl w:val="9"/>
        <w:rPr>
          <w:color w:val="FFFFFF" w:themeColor="background1"/>
          <w:kern w:val="0"/>
          <w:sz w:val="18"/>
          <w:szCs w:val="18"/>
          <w14:textFill>
            <w14:solidFill>
              <w14:schemeClr w14:val="bg1"/>
            </w14:solidFill>
          </w14:textFill>
        </w:rPr>
      </w:pPr>
    </w:p>
    <w:p>
      <w:pPr>
        <w:ind w:left="120" w:firstLine="189"/>
        <w:outlineLvl w:val="9"/>
        <w:rPr>
          <w:color w:val="FFFFFF" w:themeColor="background1"/>
          <w:kern w:val="0"/>
          <w:sz w:val="18"/>
          <w:szCs w:val="18"/>
          <w14:textFill>
            <w14:solidFill>
              <w14:schemeClr w14:val="bg1"/>
            </w14:solidFill>
          </w14:textFill>
        </w:rPr>
      </w:pPr>
    </w:p>
    <w:p>
      <w:pPr>
        <w:ind w:left="120" w:firstLine="189"/>
        <w:outlineLvl w:val="9"/>
        <w:rPr>
          <w:color w:val="FFFFFF" w:themeColor="background1"/>
          <w:kern w:val="0"/>
          <w:sz w:val="18"/>
          <w:szCs w:val="18"/>
          <w14:textFill>
            <w14:solidFill>
              <w14:schemeClr w14:val="bg1"/>
            </w14:solidFill>
          </w14:textFill>
        </w:rPr>
      </w:pPr>
    </w:p>
    <w:p>
      <w:pPr>
        <w:ind w:left="120" w:firstLine="189"/>
        <w:outlineLvl w:val="9"/>
        <w:rPr>
          <w:color w:val="FFFFFF" w:themeColor="background1"/>
          <w:kern w:val="0"/>
          <w:sz w:val="18"/>
          <w:szCs w:val="18"/>
          <w14:textFill>
            <w14:solidFill>
              <w14:schemeClr w14:val="bg1"/>
            </w14:solidFill>
          </w14:textFill>
        </w:rPr>
      </w:pPr>
    </w:p>
    <w:p>
      <w:pPr>
        <w:spacing w:line="240" w:lineRule="auto"/>
        <w:ind w:left="0" w:leftChars="0" w:firstLine="0" w:firstLineChars="0"/>
        <w:outlineLvl w:val="1"/>
        <w:rPr>
          <w:rStyle w:val="49"/>
          <w:rFonts w:hint="eastAsia" w:ascii="仿宋" w:hAnsi="仿宋" w:eastAsia="仿宋" w:cs="仿宋"/>
          <w:b/>
          <w:bCs/>
          <w:sz w:val="28"/>
          <w:szCs w:val="28"/>
        </w:rPr>
      </w:pPr>
      <w:bookmarkStart w:id="39" w:name="_Toc14360"/>
      <w:r>
        <w:rPr>
          <w:rStyle w:val="49"/>
          <w:rFonts w:hint="eastAsia" w:ascii="仿宋" w:hAnsi="仿宋" w:eastAsia="仿宋" w:cs="仿宋"/>
          <w:b/>
          <w:bCs/>
          <w:sz w:val="28"/>
          <w:szCs w:val="28"/>
        </w:rPr>
        <w:t>（一）成都市信息安全公共服务平台建成投运</w:t>
      </w:r>
      <w:bookmarkEnd w:id="39"/>
    </w:p>
    <w:p>
      <w:pPr>
        <w:spacing w:line="240" w:lineRule="auto"/>
        <w:ind w:left="0" w:leftChars="0" w:firstLine="0" w:firstLineChars="0"/>
        <w:rPr>
          <w:rStyle w:val="49"/>
          <w:rFonts w:hint="eastAsia" w:ascii="仿宋" w:hAnsi="仿宋" w:eastAsia="仿宋" w:cs="仿宋"/>
          <w:b/>
          <w:bCs/>
          <w:sz w:val="28"/>
          <w:szCs w:val="28"/>
        </w:rPr>
      </w:pPr>
      <w:r>
        <w:rPr>
          <w:rStyle w:val="49"/>
          <w:rFonts w:hint="eastAsia" w:ascii="仿宋" w:hAnsi="仿宋" w:eastAsia="仿宋" w:cs="仿宋"/>
          <w:b/>
          <w:bCs/>
          <w:sz w:val="28"/>
          <w:szCs w:val="28"/>
          <w:lang w:val="en-US" w:eastAsia="zh-CN"/>
        </w:rPr>
        <w:t>来源：</w:t>
      </w:r>
      <w:r>
        <w:rPr>
          <w:rStyle w:val="49"/>
          <w:rFonts w:hint="eastAsia" w:ascii="仿宋" w:hAnsi="仿宋" w:eastAsia="仿宋" w:cs="仿宋"/>
          <w:b/>
          <w:bCs/>
          <w:sz w:val="28"/>
          <w:szCs w:val="28"/>
          <w:lang w:val="en-US" w:eastAsia="zh-CN"/>
        </w:rPr>
        <w:fldChar w:fldCharType="begin"/>
      </w:r>
      <w:r>
        <w:rPr>
          <w:rStyle w:val="49"/>
          <w:rFonts w:hint="eastAsia" w:ascii="仿宋" w:hAnsi="仿宋" w:eastAsia="仿宋" w:cs="仿宋"/>
          <w:b/>
          <w:bCs/>
          <w:sz w:val="28"/>
          <w:szCs w:val="28"/>
          <w:lang w:val="en-US" w:eastAsia="zh-CN"/>
        </w:rPr>
        <w:instrText xml:space="preserve"> HYPERLINK "http://www.cdrb.com.cn/epaper/cdrbpc/201805/10/c17843.html" \t "http://sc.people.com.cn/n2/2018/0510/_blank" </w:instrText>
      </w:r>
      <w:r>
        <w:rPr>
          <w:rStyle w:val="49"/>
          <w:rFonts w:hint="eastAsia" w:ascii="仿宋" w:hAnsi="仿宋" w:eastAsia="仿宋" w:cs="仿宋"/>
          <w:b/>
          <w:bCs/>
          <w:sz w:val="28"/>
          <w:szCs w:val="28"/>
          <w:lang w:val="en-US" w:eastAsia="zh-CN"/>
        </w:rPr>
        <w:fldChar w:fldCharType="separate"/>
      </w:r>
      <w:r>
        <w:rPr>
          <w:rStyle w:val="49"/>
          <w:rFonts w:hint="eastAsia" w:ascii="仿宋" w:hAnsi="仿宋" w:eastAsia="仿宋" w:cs="仿宋"/>
          <w:b/>
          <w:bCs/>
          <w:sz w:val="28"/>
          <w:szCs w:val="28"/>
        </w:rPr>
        <w:t>成都日报</w:t>
      </w:r>
      <w:r>
        <w:rPr>
          <w:rStyle w:val="49"/>
          <w:rFonts w:hint="eastAsia" w:ascii="仿宋" w:hAnsi="仿宋" w:eastAsia="仿宋" w:cs="仿宋"/>
          <w:b/>
          <w:bCs/>
          <w:sz w:val="28"/>
          <w:szCs w:val="28"/>
          <w:lang w:val="en-US" w:eastAsia="zh-CN"/>
        </w:rPr>
        <w:fldChar w:fldCharType="end"/>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1场主题峰会，19个分论坛，联动“政产学研用”，成都开启了一场为期两天的网络安全观点秀。</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昨日，以“联动·聚力”为主题的2018年C3安全峰会在成都正式开幕。作为目前中国最高规格、备受全球网络安全从业者关注的年度盛典，本届峰会汇聚全球超过1800位IT领袖，紧密契合国家网络安全战略，聚焦新时代下的网络安全热点，深入探讨量子计算、车联网安全、人工智能与机器学习、云安全、保障关键信息基础设施安全等前沿核心议题，全面开展国际高端交流对话。</w:t>
      </w:r>
    </w:p>
    <w:p>
      <w:pPr>
        <w:spacing w:line="240" w:lineRule="auto"/>
        <w:ind w:left="0" w:leftChars="0" w:firstLine="0" w:firstLineChars="0"/>
        <w:rPr>
          <w:rStyle w:val="49"/>
          <w:rFonts w:hint="eastAsia" w:ascii="仿宋" w:hAnsi="仿宋" w:eastAsia="仿宋" w:cs="仿宋"/>
          <w:sz w:val="28"/>
          <w:szCs w:val="28"/>
        </w:rPr>
      </w:pPr>
      <w:r>
        <w:rPr>
          <w:rStyle w:val="49"/>
          <w:rFonts w:hint="eastAsia" w:ascii="仿宋" w:hAnsi="仿宋" w:eastAsia="仿宋" w:cs="仿宋"/>
          <w:sz w:val="28"/>
          <w:szCs w:val="28"/>
        </w:rPr>
        <w:t>连续三年在蓉举办 深入探讨前沿核心议题</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据悉，C3即Cyber-网际、Cloud-云、Communication-通信，自2016年创立以来，C3安全峰会连续三年在成都召开，已经成为前沿网络安全技术交流与展示的顶尖舞台，本届峰会中国工程院院士沈昌祥、中国科学院院士郑建华、中国科学院院士潘建伟以及亚信集团董事长田溯宁、亚信安全董事长何政等网络安全大咖悉数出席。</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我们正在从百亿的连接走向万亿的连接，从‘互联网+’走向‘万物+’的时代，万物互联成为我们数字生活彼岸必不可少的最重要的未来。”亚信集团董事长田溯宁在会上表示，在这个新的数字化革命浪潮中，所有的关键基础设施都与网络连在一起，网络安全尤其是关键信息基础设施安全非常重要。</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量子计算的能力随着比特数呈现指数增长，可以应用于密码破译、经典分析、药物分析等应用”“现在，云计算成为数字经济的基础设施，正在与大数据、物联网和人工智能快速融合”……中国科学院院士、中国科学技术大学常务副校长潘建伟，亚马逊AWS全球战略策划发展总经理Issac Levin等专家在会上分享了量子计算、云计算等核心前沿议题。100多场围绕量子计算、车联网安全、保障关键信息基础设施安全等新兴技术领域和行业应用的精彩演讲在此次峰会期间全面开启。</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本次峰会还特别设置智能网联汽车网络安全闭门座谈会、全球数据跨境流动政策与实践座谈会这两大闭门论坛。智能网联汽车网络安全闭门座谈会探讨如何打造安全的车内装置，并监控和保护车内关键组件的信息安全；全球数据跨境流动政策与实践座谈会重点聚焦数据出境法律法规、标准指南体系解读，分享数据出境国际治理话题，探讨跨国企业国内国际运营实际问题及解决方案。</w:t>
      </w:r>
    </w:p>
    <w:p>
      <w:pPr>
        <w:spacing w:line="240" w:lineRule="auto"/>
        <w:ind w:left="0" w:leftChars="0" w:firstLine="0" w:firstLineChars="0"/>
        <w:rPr>
          <w:rStyle w:val="49"/>
          <w:rFonts w:hint="eastAsia" w:ascii="仿宋" w:hAnsi="仿宋" w:eastAsia="仿宋" w:cs="仿宋"/>
          <w:sz w:val="28"/>
          <w:szCs w:val="28"/>
        </w:rPr>
      </w:pPr>
      <w:r>
        <w:rPr>
          <w:rStyle w:val="49"/>
          <w:rFonts w:hint="eastAsia" w:ascii="仿宋" w:hAnsi="仿宋" w:eastAsia="仿宋" w:cs="仿宋"/>
          <w:sz w:val="28"/>
          <w:szCs w:val="28"/>
        </w:rPr>
        <w:t>成都市信息安全公共服务平台建成投运</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近年来，成都大力支持网络安全创新，将信息安全产业列入全市五大高端成长型产业之一，出台专项政策落地，促进产业快速发展，在与企业共建运营网络创新服务中心、与高校共建网络安全实验室等方面做了大量的工作。</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“在网络安全产业发展的区域联动协同中，成都正凭借其高新技术产业、科技人才等优势，向着‘网络安全第一城’的目标不断前进，” 亚信安全董事长何政指出，“亚信安全与成都市在基金、人才、影响力、试点示范和产业集聚等多方面展开深入合作，促进产业资本体系构建，搭建产学研人才培养体系，建设具有全国影响力的标杆试点，助力成都打造世界级的网络安全产业基地。”</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目前，亚信安全已经建设完成成都市信息安全公共服务平台并全面投入运营，面向政府和企事业单位提供态势感知、安全预警、钓鱼网站监测服务、DNS防篡改监测服务、远程漏洞扫描等多项网络安全服务，充分发挥了公共服务的职能，可以实现事前监控预警、事中防御处置、事后溯源取证的城市网络安全一体化全流程管理，做到重大安全事件无遗漏，并在WannaCry勒索病毒爆发期间向多家单位和部门提供了现场技术支持。</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此外，在2016首届C3安全峰会上，亚信（成都）网络安全产业技术研究院正式启动，提出通过开放式的产学研用协同创新合作机制，将成都打造成国际知名、国内一流的网络安全产业基地。据介绍，目前亚信安全产研院已拥有一支近百人的高水平研发和产业化人才队伍，已建成国内领先的网络安全态势感知中心、国内首个高级威胁调查取证中心以及领先的网络安全攻防实验室、云安全实验室、大数据安全实验室和物联网安全实验室。</w:t>
      </w:r>
    </w:p>
    <w:p>
      <w:pPr>
        <w:rPr>
          <w:rStyle w:val="44"/>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3514" w:firstLineChars="1250"/>
        <w:outlineLvl w:val="0"/>
        <w:rPr>
          <w:rFonts w:ascii="仿宋_GB2312" w:eastAsia="仿宋_GB2312"/>
          <w:b/>
          <w:color w:val="auto"/>
          <w:sz w:val="28"/>
          <w:szCs w:val="28"/>
        </w:rPr>
      </w:pPr>
      <w:bookmarkStart w:id="40" w:name="_Toc16872"/>
      <w:r>
        <w:rPr>
          <w:rFonts w:hint="eastAsia" w:ascii="仿宋_GB2312" w:eastAsia="仿宋_GB2312"/>
          <w:b/>
          <w:color w:val="auto"/>
          <w:sz w:val="28"/>
          <w:szCs w:val="28"/>
        </w:rPr>
        <w:t>结   语</w:t>
      </w:r>
      <w:bookmarkEnd w:id="40"/>
    </w:p>
    <w:p>
      <w:pPr>
        <w:rPr>
          <w:rFonts w:ascii="仿宋_GB2312" w:eastAsia="仿宋_GB2312"/>
          <w:b/>
          <w:color w:val="auto"/>
          <w:sz w:val="28"/>
          <w:szCs w:val="28"/>
        </w:rPr>
      </w:pPr>
      <w:r>
        <w:rPr>
          <w:rFonts w:hint="eastAsia" w:ascii="仿宋_GB2312" w:eastAsia="仿宋_GB2312"/>
          <w:b/>
          <w:color w:val="auto"/>
          <w:sz w:val="28"/>
          <w:szCs w:val="28"/>
        </w:rPr>
        <w:t xml:space="preserve">             </w:t>
      </w:r>
    </w:p>
    <w:p>
      <w:pPr>
        <w:ind w:firstLine="700" w:firstLineChars="249"/>
        <w:rPr>
          <w:rFonts w:ascii="仿宋_GB2312" w:eastAsia="仿宋_GB2312"/>
          <w:color w:val="auto"/>
          <w:sz w:val="28"/>
          <w:szCs w:val="28"/>
        </w:rPr>
      </w:pPr>
      <w:r>
        <w:rPr>
          <w:rFonts w:hint="eastAsia" w:ascii="仿宋_GB2312" w:eastAsia="仿宋_GB2312" w:cs="宋体"/>
          <w:b/>
          <w:color w:val="auto"/>
          <w:sz w:val="28"/>
          <w:szCs w:val="28"/>
        </w:rPr>
        <w:t>成都市国信安信息产业基地刊物</w:t>
      </w:r>
      <w:r>
        <w:rPr>
          <w:rFonts w:hint="eastAsia" w:ascii="仿宋_GB2312" w:eastAsia="仿宋_GB2312" w:cs="宋体"/>
          <w:color w:val="auto"/>
          <w:sz w:val="28"/>
          <w:szCs w:val="28"/>
        </w:rPr>
        <w:t>《软件与信息安全产业快讯》，是一个专门面向政府、企业领导的内部刊物，主要内容包括市场与项目信息、业界动态、政府之声、产品与技术、管理与创新，以及最新出台的政策法规等。</w:t>
      </w:r>
    </w:p>
    <w:p>
      <w:pPr>
        <w:ind w:firstLine="560"/>
        <w:rPr>
          <w:rFonts w:ascii="仿宋_GB2312" w:eastAsia="仿宋_GB2312"/>
          <w:color w:val="auto"/>
          <w:sz w:val="28"/>
          <w:szCs w:val="28"/>
        </w:rPr>
      </w:pPr>
      <w:r>
        <w:rPr>
          <w:rFonts w:hint="eastAsia" w:ascii="仿宋_GB2312" w:eastAsia="仿宋_GB2312" w:cs="宋体"/>
          <w:color w:val="auto"/>
          <w:sz w:val="28"/>
          <w:szCs w:val="28"/>
        </w:rPr>
        <w:t>本书中的原始数据和资料，均引自官方公布的统计数据或各权威媒体公开发表的材料，仅供读者参考。</w:t>
      </w:r>
    </w:p>
    <w:p>
      <w:pPr>
        <w:ind w:firstLine="560"/>
        <w:rPr>
          <w:rFonts w:ascii="仿宋_GB2312" w:eastAsia="仿宋_GB2312"/>
          <w:color w:val="auto"/>
          <w:sz w:val="28"/>
          <w:szCs w:val="28"/>
        </w:rPr>
      </w:pPr>
      <w:r>
        <w:rPr>
          <w:rFonts w:hint="eastAsia" w:ascii="仿宋_GB2312" w:eastAsia="仿宋_GB2312" w:cs="宋体"/>
          <w:color w:val="auto"/>
          <w:sz w:val="28"/>
          <w:szCs w:val="28"/>
        </w:rPr>
        <w:t>未经本书著作权人书面授权，请勿转载、引用获奖本书内容用于商业用途。</w:t>
      </w:r>
    </w:p>
    <w:p>
      <w:pPr>
        <w:ind w:firstLine="1548" w:firstLineChars="482"/>
        <w:rPr>
          <w:rFonts w:ascii="仿宋_GB2312" w:eastAsia="仿宋_GB2312" w:cs="宋体"/>
          <w:b/>
          <w:sz w:val="32"/>
          <w:szCs w:val="32"/>
        </w:rPr>
      </w:pPr>
    </w:p>
    <w:p>
      <w:pPr>
        <w:ind w:firstLine="243" w:firstLineChars="116"/>
      </w:pPr>
    </w:p>
    <w:p>
      <w:pPr>
        <w:ind w:firstLine="0"/>
        <w:rPr>
          <w:rFonts w:ascii="仿宋_GB2312" w:eastAsia="仿宋_GB2312" w:cs="宋体"/>
          <w:b/>
          <w:sz w:val="32"/>
          <w:szCs w:val="32"/>
        </w:rPr>
      </w:pPr>
    </w:p>
    <w:p>
      <w:pPr>
        <w:ind w:firstLine="373" w:firstLineChars="116"/>
        <w:rPr>
          <w:rFonts w:ascii="仿宋_GB2312" w:eastAsia="仿宋_GB2312" w:cs="宋体"/>
          <w:b/>
          <w:sz w:val="32"/>
          <w:szCs w:val="32"/>
        </w:rPr>
      </w:pPr>
      <w:r>
        <w:rPr>
          <w:rFonts w:hint="eastAsia" w:ascii="仿宋_GB2312" w:eastAsia="仿宋_GB2312" w:cs="宋体"/>
          <w:b/>
          <w:sz w:val="32"/>
          <w:szCs w:val="32"/>
        </w:rPr>
        <w:t xml:space="preserve"> </w:t>
      </w:r>
    </w:p>
    <w:p>
      <w:pPr>
        <w:ind w:right="-67" w:rightChars="-32" w:firstLine="2731" w:firstLineChars="850"/>
        <w:jc w:val="right"/>
        <w:rPr>
          <w:rFonts w:ascii="仿宋_GB2312" w:eastAsia="仿宋_GB2312" w:cs="宋体"/>
          <w:b/>
          <w:sz w:val="32"/>
          <w:szCs w:val="32"/>
        </w:rPr>
      </w:pPr>
      <w:r>
        <w:rPr>
          <w:rFonts w:hint="eastAsia" w:ascii="仿宋_GB2312" w:eastAsia="仿宋_GB2312" w:cs="宋体"/>
          <w:b/>
          <w:sz w:val="32"/>
          <w:szCs w:val="32"/>
        </w:rPr>
        <w:t>成都国家现代服务业信息安全产业化基地</w:t>
      </w:r>
    </w:p>
    <w:p>
      <w:pPr>
        <w:ind w:right="-67" w:rightChars="-32" w:firstLine="2776" w:firstLineChars="864"/>
        <w:jc w:val="right"/>
        <w:rPr>
          <w:rFonts w:ascii="仿宋_GB2312" w:eastAsia="仿宋_GB2312" w:cs="宋体"/>
          <w:b/>
          <w:sz w:val="32"/>
          <w:szCs w:val="32"/>
        </w:rPr>
      </w:pPr>
      <w:r>
        <w:rPr>
          <w:rFonts w:hint="eastAsia" w:ascii="仿宋_GB2312" w:eastAsia="仿宋_GB2312" w:cs="宋体"/>
          <w:b/>
          <w:sz w:val="32"/>
          <w:szCs w:val="32"/>
        </w:rPr>
        <w:t>四川省信息安全产业技术创新联盟</w:t>
      </w:r>
    </w:p>
    <w:p>
      <w:pPr>
        <w:ind w:right="-67" w:rightChars="-32" w:firstLine="2776" w:firstLineChars="864"/>
        <w:jc w:val="right"/>
        <w:rPr>
          <w:rFonts w:ascii="仿宋_GB2312" w:eastAsia="仿宋_GB2312" w:cs="宋体"/>
          <w:b/>
          <w:sz w:val="32"/>
          <w:szCs w:val="32"/>
        </w:rPr>
      </w:pPr>
      <w:r>
        <w:rPr>
          <w:rFonts w:hint="eastAsia" w:ascii="仿宋_GB2312" w:eastAsia="仿宋_GB2312" w:cs="宋体"/>
          <w:b/>
          <w:sz w:val="32"/>
          <w:szCs w:val="32"/>
        </w:rPr>
        <w:t>成都高新区网络空间安全协会（编）</w:t>
      </w:r>
    </w:p>
    <w:p>
      <w:pPr>
        <w:spacing w:line="360" w:lineRule="auto"/>
        <w:ind w:right="-67" w:rightChars="-32" w:firstLine="3585" w:firstLineChars="1116"/>
        <w:jc w:val="righ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二零一八年</w:t>
      </w:r>
      <w:r>
        <w:rPr>
          <w:rFonts w:hint="eastAsia" w:ascii="仿宋_GB2312" w:hAnsi="仿宋_GB2312" w:eastAsia="仿宋_GB2312" w:cs="仿宋_GB2312"/>
          <w:b/>
          <w:sz w:val="32"/>
          <w:szCs w:val="32"/>
          <w:lang w:eastAsia="zh-CN"/>
        </w:rPr>
        <w:t>五</w:t>
      </w:r>
      <w:r>
        <w:rPr>
          <w:rFonts w:hint="eastAsia" w:ascii="仿宋_GB2312" w:hAnsi="仿宋_GB2312" w:eastAsia="仿宋_GB2312" w:cs="仿宋_GB2312"/>
          <w:b/>
          <w:sz w:val="32"/>
          <w:szCs w:val="32"/>
        </w:rPr>
        <w:t>月十</w:t>
      </w:r>
      <w:r>
        <w:rPr>
          <w:rFonts w:hint="eastAsia" w:ascii="仿宋_GB2312" w:hAnsi="仿宋_GB2312" w:eastAsia="仿宋_GB2312" w:cs="仿宋_GB2312"/>
          <w:b/>
          <w:sz w:val="32"/>
          <w:szCs w:val="32"/>
          <w:lang w:eastAsia="zh-CN"/>
        </w:rPr>
        <w:t>五</w:t>
      </w:r>
      <w:r>
        <w:rPr>
          <w:rFonts w:hint="eastAsia" w:ascii="仿宋_GB2312" w:hAnsi="仿宋_GB2312" w:eastAsia="仿宋_GB2312" w:cs="仿宋_GB2312"/>
          <w:b/>
          <w:sz w:val="32"/>
          <w:szCs w:val="32"/>
        </w:rPr>
        <w:t>日</w:t>
      </w:r>
    </w:p>
    <w:sectPr>
      <w:footerReference r:id="rId5" w:type="first"/>
      <w:headerReference r:id="rId3" w:type="default"/>
      <w:footerReference r:id="rId4" w:type="default"/>
      <w:pgSz w:w="11906" w:h="16838"/>
      <w:pgMar w:top="1440" w:right="1558" w:bottom="1440" w:left="1797"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Cambria">
    <w:panose1 w:val="020405030504060A0204"/>
    <w:charset w:val="00"/>
    <w:family w:val="roman"/>
    <w:pitch w:val="default"/>
    <w:sig w:usb0="E00002FF" w:usb1="4000045F" w:usb2="00000000" w:usb3="00000000" w:csb0="2000019F" w:csb1="00000000"/>
  </w:font>
  <w:font w:name="ˎ̥">
    <w:altName w:val="Times New Roman"/>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寰蒋闆呴粦">
    <w:altName w:val="宋体"/>
    <w:panose1 w:val="00000000000000000000"/>
    <w:charset w:val="86"/>
    <w:family w:val="roman"/>
    <w:pitch w:val="default"/>
    <w:sig w:usb0="00000000" w:usb1="00000000" w:usb2="00000010" w:usb3="00000000" w:csb0="00040000" w:csb1="00000000"/>
  </w:font>
  <w:font w:name="Arial">
    <w:panose1 w:val="020B0604020202020204"/>
    <w:charset w:val="00"/>
    <w:family w:val="auto"/>
    <w:pitch w:val="default"/>
    <w:sig w:usb0="E0002AFF" w:usb1="C0007843" w:usb2="00000009" w:usb3="00000000" w:csb0="400001FF" w:csb1="FFFF0000"/>
  </w:font>
  <w:font w:name="-apple-system-fon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ymbol">
    <w:panose1 w:val="05050102010706020507"/>
    <w:charset w:val="00"/>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left="0" w:leftChars="0" w:right="149" w:rightChars="71" w:firstLine="0" w:firstLineChars="0"/>
    </w:pPr>
    <w:r>
      <w:rPr>
        <w:sz w:val="18"/>
      </w:rPr>
      <mc:AlternateContent>
        <mc:Choice Requires="wps">
          <w:drawing>
            <wp:anchor distT="0" distB="0" distL="114300" distR="114300" simplePos="0" relativeHeight="251658240" behindDoc="0" locked="0" layoutInCell="1" allowOverlap="1">
              <wp:simplePos x="0" y="0"/>
              <wp:positionH relativeFrom="margin">
                <wp:align>left</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宋体"/>
                              <w:b w:val="0"/>
                              <w:bCs w:val="0"/>
                              <w:lang w:eastAsia="zh-CN"/>
                            </w:rPr>
                          </w:pPr>
                          <w:r>
                            <w:rPr>
                              <w:rFonts w:hint="eastAsia"/>
                              <w:b/>
                              <w:bCs/>
                              <w:lang w:val="en-US" w:eastAsia="zh-CN"/>
                            </w:rPr>
                            <w:t xml:space="preserve"> </w:t>
                          </w:r>
                          <w:r>
                            <w:rPr>
                              <w:rFonts w:hint="eastAsia"/>
                              <w:b w:val="0"/>
                              <w:bCs w:val="0"/>
                              <w:lang w:val="en-US" w:eastAsia="zh-CN"/>
                            </w:rPr>
                            <w:t xml:space="preserve"> </w:t>
                          </w:r>
                          <w:r>
                            <w:rPr>
                              <w:rFonts w:hint="eastAsia"/>
                              <w:b w:val="0"/>
                              <w:bCs w:val="0"/>
                              <w:lang w:eastAsia="zh-CN"/>
                            </w:rPr>
                            <w:fldChar w:fldCharType="begin"/>
                          </w:r>
                          <w:r>
                            <w:rPr>
                              <w:rFonts w:hint="eastAsia"/>
                              <w:b w:val="0"/>
                              <w:bCs w:val="0"/>
                              <w:lang w:eastAsia="zh-CN"/>
                            </w:rPr>
                            <w:instrText xml:space="preserve"> PAGE  \* MERGEFORMAT </w:instrText>
                          </w:r>
                          <w:r>
                            <w:rPr>
                              <w:rFonts w:hint="eastAsia"/>
                              <w:b w:val="0"/>
                              <w:bCs w:val="0"/>
                              <w:lang w:eastAsia="zh-CN"/>
                            </w:rPr>
                            <w:fldChar w:fldCharType="separate"/>
                          </w:r>
                          <w:r>
                            <w:rPr>
                              <w:rFonts w:hint="eastAsia"/>
                              <w:b w:val="0"/>
                              <w:bCs w:val="0"/>
                              <w:lang w:eastAsia="zh-CN"/>
                            </w:rPr>
                            <w:t>2</w:t>
                          </w:r>
                          <w:r>
                            <w:rPr>
                              <w:rFonts w:hint="eastAsia"/>
                              <w:b w:val="0"/>
                              <w:bCs w:val="0"/>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YFfpEU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pgV+kRQCAAAVBAAADgAAAAAAAAAB&#10;ACAAAAAfAQAAZHJzL2Uyb0RvYy54bWxQSwUGAAAAAAYABgBZAQAApQUAAAAA&#10;">
              <v:fill on="f" focussize="0,0"/>
              <v:stroke on="f" weight="0.5pt"/>
              <v:imagedata o:title=""/>
              <o:lock v:ext="edit" aspectratio="f"/>
              <v:textbox inset="0mm,0mm,0mm,0mm" style="mso-fit-shape-to-text:t;">
                <w:txbxContent>
                  <w:p>
                    <w:pPr>
                      <w:pStyle w:val="15"/>
                      <w:rPr>
                        <w:rFonts w:hint="eastAsia" w:eastAsia="宋体"/>
                        <w:b w:val="0"/>
                        <w:bCs w:val="0"/>
                        <w:lang w:eastAsia="zh-CN"/>
                      </w:rPr>
                    </w:pPr>
                    <w:r>
                      <w:rPr>
                        <w:rFonts w:hint="eastAsia"/>
                        <w:b/>
                        <w:bCs/>
                        <w:lang w:val="en-US" w:eastAsia="zh-CN"/>
                      </w:rPr>
                      <w:t xml:space="preserve"> </w:t>
                    </w:r>
                    <w:r>
                      <w:rPr>
                        <w:rFonts w:hint="eastAsia"/>
                        <w:b w:val="0"/>
                        <w:bCs w:val="0"/>
                        <w:lang w:val="en-US" w:eastAsia="zh-CN"/>
                      </w:rPr>
                      <w:t xml:space="preserve"> </w:t>
                    </w:r>
                    <w:r>
                      <w:rPr>
                        <w:rFonts w:hint="eastAsia"/>
                        <w:b w:val="0"/>
                        <w:bCs w:val="0"/>
                        <w:lang w:eastAsia="zh-CN"/>
                      </w:rPr>
                      <w:fldChar w:fldCharType="begin"/>
                    </w:r>
                    <w:r>
                      <w:rPr>
                        <w:rFonts w:hint="eastAsia"/>
                        <w:b w:val="0"/>
                        <w:bCs w:val="0"/>
                        <w:lang w:eastAsia="zh-CN"/>
                      </w:rPr>
                      <w:instrText xml:space="preserve"> PAGE  \* MERGEFORMAT </w:instrText>
                    </w:r>
                    <w:r>
                      <w:rPr>
                        <w:rFonts w:hint="eastAsia"/>
                        <w:b w:val="0"/>
                        <w:bCs w:val="0"/>
                        <w:lang w:eastAsia="zh-CN"/>
                      </w:rPr>
                      <w:fldChar w:fldCharType="separate"/>
                    </w:r>
                    <w:r>
                      <w:rPr>
                        <w:rFonts w:hint="eastAsia"/>
                        <w:b w:val="0"/>
                        <w:bCs w:val="0"/>
                        <w:lang w:eastAsia="zh-CN"/>
                      </w:rPr>
                      <w:t>2</w:t>
                    </w:r>
                    <w:r>
                      <w:rPr>
                        <w:rFonts w:hint="eastAsia"/>
                        <w:b w:val="0"/>
                        <w:bCs w:val="0"/>
                        <w:lang w:eastAsia="zh-CN"/>
                      </w:rPr>
                      <w:fldChar w:fldCharType="end"/>
                    </w:r>
                  </w:p>
                </w:txbxContent>
              </v:textbox>
            </v:shape>
          </w:pict>
        </mc:Fallback>
      </mc:AlternateContent>
    </w:r>
    <w:r>
      <w:drawing>
        <wp:inline distT="0" distB="0" distL="0" distR="0">
          <wp:extent cx="5641975" cy="379095"/>
          <wp:effectExtent l="19050" t="0" r="0" b="0"/>
          <wp:docPr id="16" name="图片 12"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descr="未命名"/>
                  <pic:cNvPicPr>
                    <a:picLocks noChangeAspect="1" noChangeArrowheads="1"/>
                  </pic:cNvPicPr>
                </pic:nvPicPr>
                <pic:blipFill>
                  <a:blip r:embed="rId1"/>
                  <a:srcRect/>
                  <a:stretch>
                    <a:fillRect/>
                  </a:stretch>
                </pic:blipFill>
                <pic:spPr>
                  <a:xfrm>
                    <a:off x="0" y="0"/>
                    <a:ext cx="5641975" cy="379095"/>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H7t3oV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H7t3oVAgAAFQQAAA4AAAAAAAAA&#10;AQAgAAAAHwEAAGRycy9lMm9Eb2MueG1sUEsFBgAAAAAGAAYAWQEAAKYFAAAAAA==&#10;">
              <v:fill on="f" focussize="0,0"/>
              <v:stroke on="f" weight="0.5pt"/>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tabs>
        <w:tab w:val="left" w:pos="5207"/>
        <w:tab w:val="clear" w:pos="4153"/>
        <w:tab w:val="clear" w:pos="8306"/>
      </w:tabs>
      <w:ind w:left="120" w:firstLine="190"/>
      <w:jc w:val="both"/>
      <w:rPr>
        <w:b/>
        <w:color w:val="7F7F7F" w:themeColor="background1" w:themeShade="80"/>
      </w:rPr>
    </w:pPr>
    <w:r>
      <w:rPr>
        <w:rFonts w:hint="eastAsia"/>
        <w:b/>
        <w:color w:val="7F7F7F" w:themeColor="background1" w:themeShade="80"/>
      </w:rPr>
      <w:t>成都国家现代化服务业信息安全产业化基地</w:t>
    </w:r>
    <w:r>
      <w:rPr>
        <w:b/>
        <w:color w:val="7F7F7F" w:themeColor="background1" w:themeShade="80"/>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64420D0"/>
    <w:multiLevelType w:val="singleLevel"/>
    <w:tmpl w:val="C64420D0"/>
    <w:lvl w:ilvl="0" w:tentative="0">
      <w:start w:val="1"/>
      <w:numFmt w:val="chineseCounting"/>
      <w:suff w:val="nothing"/>
      <w:lvlText w:val="（%1）"/>
      <w:lvlJc w:val="left"/>
      <w:rPr>
        <w:rFonts w:hint="eastAsia"/>
      </w:rPr>
    </w:lvl>
  </w:abstractNum>
  <w:abstractNum w:abstractNumId="1">
    <w:nsid w:val="0212153D"/>
    <w:multiLevelType w:val="multilevel"/>
    <w:tmpl w:val="0212153D"/>
    <w:lvl w:ilvl="0" w:tentative="0">
      <w:start w:val="1"/>
      <w:numFmt w:val="upperRoman"/>
      <w:pStyle w:val="2"/>
      <w:lvlText w:val="第 %1 条"/>
      <w:lvlJc w:val="left"/>
      <w:pPr>
        <w:tabs>
          <w:tab w:val="left" w:pos="1800"/>
        </w:tabs>
        <w:ind w:left="0" w:firstLine="0"/>
      </w:pPr>
    </w:lvl>
    <w:lvl w:ilvl="1" w:tentative="0">
      <w:start w:val="1"/>
      <w:numFmt w:val="decimalZero"/>
      <w:isLgl/>
      <w:lvlText w:val="节 %1.%2"/>
      <w:lvlJc w:val="left"/>
      <w:pPr>
        <w:tabs>
          <w:tab w:val="left" w:pos="1080"/>
        </w:tabs>
        <w:ind w:left="0" w:firstLine="0"/>
      </w:pPr>
    </w:lvl>
    <w:lvl w:ilvl="2" w:tentative="0">
      <w:start w:val="1"/>
      <w:numFmt w:val="lowerLetter"/>
      <w:pStyle w:val="4"/>
      <w:lvlText w:val="(%3)"/>
      <w:lvlJc w:val="left"/>
      <w:pPr>
        <w:tabs>
          <w:tab w:val="left" w:pos="1008"/>
        </w:tabs>
        <w:ind w:left="720" w:hanging="432"/>
      </w:pPr>
    </w:lvl>
    <w:lvl w:ilvl="3" w:tentative="0">
      <w:start w:val="1"/>
      <w:numFmt w:val="lowerRoman"/>
      <w:pStyle w:val="5"/>
      <w:lvlText w:val="(%4)"/>
      <w:lvlJc w:val="right"/>
      <w:pPr>
        <w:tabs>
          <w:tab w:val="left" w:pos="864"/>
        </w:tabs>
        <w:ind w:left="864" w:hanging="144"/>
      </w:pPr>
    </w:lvl>
    <w:lvl w:ilvl="4" w:tentative="0">
      <w:start w:val="1"/>
      <w:numFmt w:val="decimal"/>
      <w:pStyle w:val="6"/>
      <w:lvlText w:val="%5)"/>
      <w:lvlJc w:val="left"/>
      <w:pPr>
        <w:tabs>
          <w:tab w:val="left" w:pos="1008"/>
        </w:tabs>
        <w:ind w:left="1008" w:hanging="432"/>
      </w:pPr>
    </w:lvl>
    <w:lvl w:ilvl="5" w:tentative="0">
      <w:start w:val="1"/>
      <w:numFmt w:val="lowerLetter"/>
      <w:pStyle w:val="7"/>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5D01"/>
    <w:rsid w:val="00000309"/>
    <w:rsid w:val="00000540"/>
    <w:rsid w:val="000006A2"/>
    <w:rsid w:val="00000901"/>
    <w:rsid w:val="00000917"/>
    <w:rsid w:val="00001032"/>
    <w:rsid w:val="000011AD"/>
    <w:rsid w:val="0000129F"/>
    <w:rsid w:val="000012E7"/>
    <w:rsid w:val="00001453"/>
    <w:rsid w:val="00001A87"/>
    <w:rsid w:val="00001B9A"/>
    <w:rsid w:val="0000219A"/>
    <w:rsid w:val="00003B7B"/>
    <w:rsid w:val="00004033"/>
    <w:rsid w:val="00004538"/>
    <w:rsid w:val="00004C5E"/>
    <w:rsid w:val="00005623"/>
    <w:rsid w:val="0000626A"/>
    <w:rsid w:val="0000673D"/>
    <w:rsid w:val="000070B0"/>
    <w:rsid w:val="00007615"/>
    <w:rsid w:val="000077D7"/>
    <w:rsid w:val="000105DE"/>
    <w:rsid w:val="00010B83"/>
    <w:rsid w:val="00012387"/>
    <w:rsid w:val="00012393"/>
    <w:rsid w:val="00012899"/>
    <w:rsid w:val="000128A1"/>
    <w:rsid w:val="000133BF"/>
    <w:rsid w:val="0001373C"/>
    <w:rsid w:val="00013768"/>
    <w:rsid w:val="0001379E"/>
    <w:rsid w:val="00013AF9"/>
    <w:rsid w:val="00013BFB"/>
    <w:rsid w:val="00013CC0"/>
    <w:rsid w:val="00013FCF"/>
    <w:rsid w:val="0001457F"/>
    <w:rsid w:val="000148B8"/>
    <w:rsid w:val="00015BF6"/>
    <w:rsid w:val="00015E2F"/>
    <w:rsid w:val="00016319"/>
    <w:rsid w:val="000165D3"/>
    <w:rsid w:val="00016B52"/>
    <w:rsid w:val="00016BE2"/>
    <w:rsid w:val="000173BD"/>
    <w:rsid w:val="00017A48"/>
    <w:rsid w:val="0002053D"/>
    <w:rsid w:val="00020E93"/>
    <w:rsid w:val="000220A2"/>
    <w:rsid w:val="00022507"/>
    <w:rsid w:val="000228DA"/>
    <w:rsid w:val="0002298B"/>
    <w:rsid w:val="00022AB9"/>
    <w:rsid w:val="00022D0E"/>
    <w:rsid w:val="000236F4"/>
    <w:rsid w:val="0002388C"/>
    <w:rsid w:val="00023BA6"/>
    <w:rsid w:val="00023C9C"/>
    <w:rsid w:val="000245E2"/>
    <w:rsid w:val="000250C3"/>
    <w:rsid w:val="00025394"/>
    <w:rsid w:val="000253F4"/>
    <w:rsid w:val="000255B8"/>
    <w:rsid w:val="00026AC0"/>
    <w:rsid w:val="00027B07"/>
    <w:rsid w:val="00027BA3"/>
    <w:rsid w:val="00027F4D"/>
    <w:rsid w:val="000304DD"/>
    <w:rsid w:val="0003063D"/>
    <w:rsid w:val="00030ED2"/>
    <w:rsid w:val="00031F94"/>
    <w:rsid w:val="000326A1"/>
    <w:rsid w:val="000329BF"/>
    <w:rsid w:val="00032EB8"/>
    <w:rsid w:val="00033067"/>
    <w:rsid w:val="00033099"/>
    <w:rsid w:val="000343F2"/>
    <w:rsid w:val="00034D71"/>
    <w:rsid w:val="0003529E"/>
    <w:rsid w:val="00035655"/>
    <w:rsid w:val="000363C7"/>
    <w:rsid w:val="0003677E"/>
    <w:rsid w:val="00036C3B"/>
    <w:rsid w:val="00036C77"/>
    <w:rsid w:val="00037605"/>
    <w:rsid w:val="00037A60"/>
    <w:rsid w:val="000409D6"/>
    <w:rsid w:val="000412D0"/>
    <w:rsid w:val="00041F93"/>
    <w:rsid w:val="000420BD"/>
    <w:rsid w:val="0004222C"/>
    <w:rsid w:val="0004240D"/>
    <w:rsid w:val="00042E00"/>
    <w:rsid w:val="00043187"/>
    <w:rsid w:val="0004370C"/>
    <w:rsid w:val="00043AD1"/>
    <w:rsid w:val="00043E71"/>
    <w:rsid w:val="000449ED"/>
    <w:rsid w:val="000455F1"/>
    <w:rsid w:val="000456A6"/>
    <w:rsid w:val="00045768"/>
    <w:rsid w:val="000457E5"/>
    <w:rsid w:val="00045A71"/>
    <w:rsid w:val="0004640F"/>
    <w:rsid w:val="0004661C"/>
    <w:rsid w:val="00046757"/>
    <w:rsid w:val="00047B91"/>
    <w:rsid w:val="000500FC"/>
    <w:rsid w:val="0005022B"/>
    <w:rsid w:val="00050402"/>
    <w:rsid w:val="00050506"/>
    <w:rsid w:val="00050E92"/>
    <w:rsid w:val="00050EF4"/>
    <w:rsid w:val="000512C5"/>
    <w:rsid w:val="00051C35"/>
    <w:rsid w:val="00051FA8"/>
    <w:rsid w:val="00051FB6"/>
    <w:rsid w:val="000531E8"/>
    <w:rsid w:val="00053B69"/>
    <w:rsid w:val="00053CE2"/>
    <w:rsid w:val="00053DEA"/>
    <w:rsid w:val="000541BD"/>
    <w:rsid w:val="0005422F"/>
    <w:rsid w:val="000546D8"/>
    <w:rsid w:val="00055329"/>
    <w:rsid w:val="000558BE"/>
    <w:rsid w:val="000558F2"/>
    <w:rsid w:val="00056B47"/>
    <w:rsid w:val="00056BCC"/>
    <w:rsid w:val="00056F4E"/>
    <w:rsid w:val="00057850"/>
    <w:rsid w:val="00057960"/>
    <w:rsid w:val="00057A22"/>
    <w:rsid w:val="00057CBA"/>
    <w:rsid w:val="00060546"/>
    <w:rsid w:val="0006094E"/>
    <w:rsid w:val="0006097C"/>
    <w:rsid w:val="0006192E"/>
    <w:rsid w:val="0006199F"/>
    <w:rsid w:val="00061DC8"/>
    <w:rsid w:val="0006269A"/>
    <w:rsid w:val="00062961"/>
    <w:rsid w:val="00062A7E"/>
    <w:rsid w:val="00063E62"/>
    <w:rsid w:val="0006538A"/>
    <w:rsid w:val="00065531"/>
    <w:rsid w:val="000655D2"/>
    <w:rsid w:val="00065A9D"/>
    <w:rsid w:val="00065C9D"/>
    <w:rsid w:val="00065CC7"/>
    <w:rsid w:val="000664BA"/>
    <w:rsid w:val="000666F2"/>
    <w:rsid w:val="0006672B"/>
    <w:rsid w:val="00066DC7"/>
    <w:rsid w:val="000675CD"/>
    <w:rsid w:val="00067920"/>
    <w:rsid w:val="00070D5B"/>
    <w:rsid w:val="0007215C"/>
    <w:rsid w:val="00072EF5"/>
    <w:rsid w:val="000730C8"/>
    <w:rsid w:val="00073A17"/>
    <w:rsid w:val="00073D05"/>
    <w:rsid w:val="00074C1E"/>
    <w:rsid w:val="00074F1C"/>
    <w:rsid w:val="000754B3"/>
    <w:rsid w:val="00076156"/>
    <w:rsid w:val="000766C6"/>
    <w:rsid w:val="000766C7"/>
    <w:rsid w:val="0007687D"/>
    <w:rsid w:val="0007687E"/>
    <w:rsid w:val="00076A1E"/>
    <w:rsid w:val="00077212"/>
    <w:rsid w:val="000774E1"/>
    <w:rsid w:val="000776C4"/>
    <w:rsid w:val="0007780F"/>
    <w:rsid w:val="00077AF7"/>
    <w:rsid w:val="00077BE9"/>
    <w:rsid w:val="00080022"/>
    <w:rsid w:val="00081378"/>
    <w:rsid w:val="00083225"/>
    <w:rsid w:val="0008332A"/>
    <w:rsid w:val="000839B0"/>
    <w:rsid w:val="00083E37"/>
    <w:rsid w:val="0008437D"/>
    <w:rsid w:val="000843D3"/>
    <w:rsid w:val="00084534"/>
    <w:rsid w:val="00084A62"/>
    <w:rsid w:val="000856DB"/>
    <w:rsid w:val="0008644B"/>
    <w:rsid w:val="00087185"/>
    <w:rsid w:val="0008727B"/>
    <w:rsid w:val="000872D4"/>
    <w:rsid w:val="00090042"/>
    <w:rsid w:val="00090444"/>
    <w:rsid w:val="000911E1"/>
    <w:rsid w:val="00091270"/>
    <w:rsid w:val="00093033"/>
    <w:rsid w:val="0009325C"/>
    <w:rsid w:val="00093A4F"/>
    <w:rsid w:val="00093F33"/>
    <w:rsid w:val="00094619"/>
    <w:rsid w:val="00095597"/>
    <w:rsid w:val="00095854"/>
    <w:rsid w:val="00095D22"/>
    <w:rsid w:val="00095E93"/>
    <w:rsid w:val="0009678F"/>
    <w:rsid w:val="00096A33"/>
    <w:rsid w:val="00096E4C"/>
    <w:rsid w:val="00096EC1"/>
    <w:rsid w:val="0009784A"/>
    <w:rsid w:val="00097908"/>
    <w:rsid w:val="00097B16"/>
    <w:rsid w:val="00097BC7"/>
    <w:rsid w:val="000A0BC8"/>
    <w:rsid w:val="000A0EE8"/>
    <w:rsid w:val="000A19CC"/>
    <w:rsid w:val="000A1AE4"/>
    <w:rsid w:val="000A1BE5"/>
    <w:rsid w:val="000A27CF"/>
    <w:rsid w:val="000A2954"/>
    <w:rsid w:val="000A29CE"/>
    <w:rsid w:val="000A2B9C"/>
    <w:rsid w:val="000A2DFD"/>
    <w:rsid w:val="000A329D"/>
    <w:rsid w:val="000A32DE"/>
    <w:rsid w:val="000A36CC"/>
    <w:rsid w:val="000A3C24"/>
    <w:rsid w:val="000A3D1F"/>
    <w:rsid w:val="000A4606"/>
    <w:rsid w:val="000A4D84"/>
    <w:rsid w:val="000A51C7"/>
    <w:rsid w:val="000A53DD"/>
    <w:rsid w:val="000A572E"/>
    <w:rsid w:val="000A5E10"/>
    <w:rsid w:val="000A65BA"/>
    <w:rsid w:val="000A6649"/>
    <w:rsid w:val="000A6680"/>
    <w:rsid w:val="000A6700"/>
    <w:rsid w:val="000A68B1"/>
    <w:rsid w:val="000A6943"/>
    <w:rsid w:val="000A6ABF"/>
    <w:rsid w:val="000A6D2D"/>
    <w:rsid w:val="000A7076"/>
    <w:rsid w:val="000A775A"/>
    <w:rsid w:val="000A7A4E"/>
    <w:rsid w:val="000A7D35"/>
    <w:rsid w:val="000A7E11"/>
    <w:rsid w:val="000A7FB1"/>
    <w:rsid w:val="000B043A"/>
    <w:rsid w:val="000B0B1B"/>
    <w:rsid w:val="000B0D2A"/>
    <w:rsid w:val="000B1820"/>
    <w:rsid w:val="000B1C1E"/>
    <w:rsid w:val="000B1DE3"/>
    <w:rsid w:val="000B2B12"/>
    <w:rsid w:val="000B2F24"/>
    <w:rsid w:val="000B3986"/>
    <w:rsid w:val="000B3A9C"/>
    <w:rsid w:val="000B423F"/>
    <w:rsid w:val="000B4526"/>
    <w:rsid w:val="000B459F"/>
    <w:rsid w:val="000B45CE"/>
    <w:rsid w:val="000B50B0"/>
    <w:rsid w:val="000B59EF"/>
    <w:rsid w:val="000B5D08"/>
    <w:rsid w:val="000B6227"/>
    <w:rsid w:val="000B6845"/>
    <w:rsid w:val="000B70B8"/>
    <w:rsid w:val="000B7861"/>
    <w:rsid w:val="000B7DDF"/>
    <w:rsid w:val="000C02FA"/>
    <w:rsid w:val="000C0FEA"/>
    <w:rsid w:val="000C163A"/>
    <w:rsid w:val="000C1D19"/>
    <w:rsid w:val="000C21CD"/>
    <w:rsid w:val="000C23C0"/>
    <w:rsid w:val="000C2986"/>
    <w:rsid w:val="000C349C"/>
    <w:rsid w:val="000C34A0"/>
    <w:rsid w:val="000C35CA"/>
    <w:rsid w:val="000C3DE7"/>
    <w:rsid w:val="000C3FF9"/>
    <w:rsid w:val="000C4A84"/>
    <w:rsid w:val="000C5690"/>
    <w:rsid w:val="000C57C1"/>
    <w:rsid w:val="000C5EF6"/>
    <w:rsid w:val="000C6530"/>
    <w:rsid w:val="000C6589"/>
    <w:rsid w:val="000C6A3E"/>
    <w:rsid w:val="000C6B2D"/>
    <w:rsid w:val="000C6CFC"/>
    <w:rsid w:val="000C6DDF"/>
    <w:rsid w:val="000C6E11"/>
    <w:rsid w:val="000C74B6"/>
    <w:rsid w:val="000C7728"/>
    <w:rsid w:val="000D0429"/>
    <w:rsid w:val="000D04D2"/>
    <w:rsid w:val="000D0B77"/>
    <w:rsid w:val="000D0FFC"/>
    <w:rsid w:val="000D125D"/>
    <w:rsid w:val="000D1C94"/>
    <w:rsid w:val="000D1F5C"/>
    <w:rsid w:val="000D231B"/>
    <w:rsid w:val="000D2C0E"/>
    <w:rsid w:val="000D345D"/>
    <w:rsid w:val="000D3526"/>
    <w:rsid w:val="000D35C5"/>
    <w:rsid w:val="000D3DB0"/>
    <w:rsid w:val="000D3EA0"/>
    <w:rsid w:val="000D4C97"/>
    <w:rsid w:val="000D4D33"/>
    <w:rsid w:val="000D4F2C"/>
    <w:rsid w:val="000D5412"/>
    <w:rsid w:val="000D6DC2"/>
    <w:rsid w:val="000D707E"/>
    <w:rsid w:val="000D7446"/>
    <w:rsid w:val="000D74E1"/>
    <w:rsid w:val="000E038D"/>
    <w:rsid w:val="000E0658"/>
    <w:rsid w:val="000E0E51"/>
    <w:rsid w:val="000E16ED"/>
    <w:rsid w:val="000E1836"/>
    <w:rsid w:val="000E1BBF"/>
    <w:rsid w:val="000E2559"/>
    <w:rsid w:val="000E2611"/>
    <w:rsid w:val="000E2B15"/>
    <w:rsid w:val="000E33D5"/>
    <w:rsid w:val="000E3DBA"/>
    <w:rsid w:val="000E4766"/>
    <w:rsid w:val="000E6163"/>
    <w:rsid w:val="000E6776"/>
    <w:rsid w:val="000E67E3"/>
    <w:rsid w:val="000E7C21"/>
    <w:rsid w:val="000F0211"/>
    <w:rsid w:val="000F09C8"/>
    <w:rsid w:val="000F1C6A"/>
    <w:rsid w:val="000F1CE2"/>
    <w:rsid w:val="000F1E0D"/>
    <w:rsid w:val="000F1E5C"/>
    <w:rsid w:val="000F2B4B"/>
    <w:rsid w:val="000F3700"/>
    <w:rsid w:val="000F39D0"/>
    <w:rsid w:val="000F3E48"/>
    <w:rsid w:val="000F4047"/>
    <w:rsid w:val="000F4BEF"/>
    <w:rsid w:val="000F5464"/>
    <w:rsid w:val="000F54EF"/>
    <w:rsid w:val="000F582B"/>
    <w:rsid w:val="000F5949"/>
    <w:rsid w:val="000F59C8"/>
    <w:rsid w:val="000F62D0"/>
    <w:rsid w:val="000F6898"/>
    <w:rsid w:val="000F6E36"/>
    <w:rsid w:val="000F7887"/>
    <w:rsid w:val="000F7DC6"/>
    <w:rsid w:val="00100217"/>
    <w:rsid w:val="001002DD"/>
    <w:rsid w:val="001005B4"/>
    <w:rsid w:val="00100818"/>
    <w:rsid w:val="00100888"/>
    <w:rsid w:val="00100967"/>
    <w:rsid w:val="00100A20"/>
    <w:rsid w:val="00100DD1"/>
    <w:rsid w:val="001016E5"/>
    <w:rsid w:val="00101D47"/>
    <w:rsid w:val="00102741"/>
    <w:rsid w:val="00102957"/>
    <w:rsid w:val="00103012"/>
    <w:rsid w:val="00103682"/>
    <w:rsid w:val="00103763"/>
    <w:rsid w:val="00103834"/>
    <w:rsid w:val="00103FE5"/>
    <w:rsid w:val="001043C6"/>
    <w:rsid w:val="00104B65"/>
    <w:rsid w:val="00104CC6"/>
    <w:rsid w:val="0010548C"/>
    <w:rsid w:val="00105A02"/>
    <w:rsid w:val="00105AF3"/>
    <w:rsid w:val="00105F0B"/>
    <w:rsid w:val="001069CF"/>
    <w:rsid w:val="00107C89"/>
    <w:rsid w:val="001100C4"/>
    <w:rsid w:val="00110601"/>
    <w:rsid w:val="00110737"/>
    <w:rsid w:val="00110AF2"/>
    <w:rsid w:val="00110C15"/>
    <w:rsid w:val="00110E68"/>
    <w:rsid w:val="00110F33"/>
    <w:rsid w:val="001112B8"/>
    <w:rsid w:val="00111559"/>
    <w:rsid w:val="00112DB6"/>
    <w:rsid w:val="00113075"/>
    <w:rsid w:val="00113429"/>
    <w:rsid w:val="00113FEB"/>
    <w:rsid w:val="001145FC"/>
    <w:rsid w:val="0011462B"/>
    <w:rsid w:val="00114CFF"/>
    <w:rsid w:val="00114FFB"/>
    <w:rsid w:val="0011573B"/>
    <w:rsid w:val="00115ABE"/>
    <w:rsid w:val="00116300"/>
    <w:rsid w:val="00116432"/>
    <w:rsid w:val="00117086"/>
    <w:rsid w:val="001171C7"/>
    <w:rsid w:val="00117392"/>
    <w:rsid w:val="0011749C"/>
    <w:rsid w:val="0011766D"/>
    <w:rsid w:val="00117832"/>
    <w:rsid w:val="001204E4"/>
    <w:rsid w:val="0012112F"/>
    <w:rsid w:val="001213D2"/>
    <w:rsid w:val="001213FE"/>
    <w:rsid w:val="00121833"/>
    <w:rsid w:val="0012217B"/>
    <w:rsid w:val="001225A1"/>
    <w:rsid w:val="001225A6"/>
    <w:rsid w:val="0012294B"/>
    <w:rsid w:val="00122C25"/>
    <w:rsid w:val="00123650"/>
    <w:rsid w:val="001236DC"/>
    <w:rsid w:val="00123900"/>
    <w:rsid w:val="001239DD"/>
    <w:rsid w:val="0012469B"/>
    <w:rsid w:val="0012487E"/>
    <w:rsid w:val="00125A70"/>
    <w:rsid w:val="00125DF6"/>
    <w:rsid w:val="0012614C"/>
    <w:rsid w:val="0012678D"/>
    <w:rsid w:val="00126B39"/>
    <w:rsid w:val="00126C14"/>
    <w:rsid w:val="0012748D"/>
    <w:rsid w:val="001308BE"/>
    <w:rsid w:val="001309B4"/>
    <w:rsid w:val="00130E38"/>
    <w:rsid w:val="00131656"/>
    <w:rsid w:val="00131741"/>
    <w:rsid w:val="00131EE3"/>
    <w:rsid w:val="001321AF"/>
    <w:rsid w:val="00132779"/>
    <w:rsid w:val="00133011"/>
    <w:rsid w:val="001332CC"/>
    <w:rsid w:val="001339C0"/>
    <w:rsid w:val="00133FDA"/>
    <w:rsid w:val="00134BF4"/>
    <w:rsid w:val="00134E35"/>
    <w:rsid w:val="001350B2"/>
    <w:rsid w:val="0013511A"/>
    <w:rsid w:val="00135579"/>
    <w:rsid w:val="001359B6"/>
    <w:rsid w:val="001359DE"/>
    <w:rsid w:val="00135AF7"/>
    <w:rsid w:val="00136AB6"/>
    <w:rsid w:val="00136BDD"/>
    <w:rsid w:val="00136EF3"/>
    <w:rsid w:val="00137442"/>
    <w:rsid w:val="00137940"/>
    <w:rsid w:val="00140030"/>
    <w:rsid w:val="0014033F"/>
    <w:rsid w:val="001404EA"/>
    <w:rsid w:val="00140B34"/>
    <w:rsid w:val="0014106B"/>
    <w:rsid w:val="001410A8"/>
    <w:rsid w:val="00141762"/>
    <w:rsid w:val="001417F5"/>
    <w:rsid w:val="00141B9A"/>
    <w:rsid w:val="00141E79"/>
    <w:rsid w:val="0014211B"/>
    <w:rsid w:val="0014276F"/>
    <w:rsid w:val="00142D4D"/>
    <w:rsid w:val="001433C5"/>
    <w:rsid w:val="001435E6"/>
    <w:rsid w:val="0014366F"/>
    <w:rsid w:val="0014433E"/>
    <w:rsid w:val="001443B8"/>
    <w:rsid w:val="00144C51"/>
    <w:rsid w:val="0014534D"/>
    <w:rsid w:val="0014539E"/>
    <w:rsid w:val="0014539F"/>
    <w:rsid w:val="00145F10"/>
    <w:rsid w:val="00146B8A"/>
    <w:rsid w:val="00146BFB"/>
    <w:rsid w:val="00146F43"/>
    <w:rsid w:val="001470C0"/>
    <w:rsid w:val="001471D8"/>
    <w:rsid w:val="00147933"/>
    <w:rsid w:val="00147ACE"/>
    <w:rsid w:val="00147BEF"/>
    <w:rsid w:val="001503B4"/>
    <w:rsid w:val="00150F53"/>
    <w:rsid w:val="00151333"/>
    <w:rsid w:val="00151793"/>
    <w:rsid w:val="00151A59"/>
    <w:rsid w:val="001521B9"/>
    <w:rsid w:val="00153097"/>
    <w:rsid w:val="00153192"/>
    <w:rsid w:val="00153B0C"/>
    <w:rsid w:val="00154352"/>
    <w:rsid w:val="00154763"/>
    <w:rsid w:val="001549C5"/>
    <w:rsid w:val="00154C99"/>
    <w:rsid w:val="00154E75"/>
    <w:rsid w:val="00154F3E"/>
    <w:rsid w:val="0015540C"/>
    <w:rsid w:val="001559E6"/>
    <w:rsid w:val="001560E3"/>
    <w:rsid w:val="001575D4"/>
    <w:rsid w:val="001576CC"/>
    <w:rsid w:val="00157E82"/>
    <w:rsid w:val="00157ED1"/>
    <w:rsid w:val="00157FA4"/>
    <w:rsid w:val="00160666"/>
    <w:rsid w:val="00160BDA"/>
    <w:rsid w:val="00160E94"/>
    <w:rsid w:val="0016166D"/>
    <w:rsid w:val="0016168C"/>
    <w:rsid w:val="00162529"/>
    <w:rsid w:val="00162E38"/>
    <w:rsid w:val="00163213"/>
    <w:rsid w:val="00163DF6"/>
    <w:rsid w:val="0016428E"/>
    <w:rsid w:val="0016483F"/>
    <w:rsid w:val="00164B9A"/>
    <w:rsid w:val="0016579B"/>
    <w:rsid w:val="00165A2C"/>
    <w:rsid w:val="00165B9E"/>
    <w:rsid w:val="00165BC2"/>
    <w:rsid w:val="00166470"/>
    <w:rsid w:val="00166513"/>
    <w:rsid w:val="001665EA"/>
    <w:rsid w:val="00166F40"/>
    <w:rsid w:val="0016711C"/>
    <w:rsid w:val="001673B5"/>
    <w:rsid w:val="0016769C"/>
    <w:rsid w:val="00167783"/>
    <w:rsid w:val="00167E0B"/>
    <w:rsid w:val="00167F2D"/>
    <w:rsid w:val="00170333"/>
    <w:rsid w:val="00170AF1"/>
    <w:rsid w:val="00171452"/>
    <w:rsid w:val="00171BE0"/>
    <w:rsid w:val="00171E76"/>
    <w:rsid w:val="00173064"/>
    <w:rsid w:val="00173192"/>
    <w:rsid w:val="001738C0"/>
    <w:rsid w:val="0017399C"/>
    <w:rsid w:val="00174014"/>
    <w:rsid w:val="00174AD0"/>
    <w:rsid w:val="001750E2"/>
    <w:rsid w:val="00175309"/>
    <w:rsid w:val="001754AB"/>
    <w:rsid w:val="00175CF0"/>
    <w:rsid w:val="001769AC"/>
    <w:rsid w:val="00177400"/>
    <w:rsid w:val="0017783C"/>
    <w:rsid w:val="00177BC8"/>
    <w:rsid w:val="00180051"/>
    <w:rsid w:val="0018081D"/>
    <w:rsid w:val="00181A66"/>
    <w:rsid w:val="00182A18"/>
    <w:rsid w:val="001830B1"/>
    <w:rsid w:val="00184CCF"/>
    <w:rsid w:val="001851C9"/>
    <w:rsid w:val="00185829"/>
    <w:rsid w:val="00185A36"/>
    <w:rsid w:val="001866C2"/>
    <w:rsid w:val="0018714D"/>
    <w:rsid w:val="00187184"/>
    <w:rsid w:val="00187419"/>
    <w:rsid w:val="0018758F"/>
    <w:rsid w:val="001875FB"/>
    <w:rsid w:val="0018782B"/>
    <w:rsid w:val="00187C0A"/>
    <w:rsid w:val="00187E81"/>
    <w:rsid w:val="00190ACF"/>
    <w:rsid w:val="00190BD4"/>
    <w:rsid w:val="00190D3E"/>
    <w:rsid w:val="0019128E"/>
    <w:rsid w:val="0019147E"/>
    <w:rsid w:val="0019194E"/>
    <w:rsid w:val="00191B8E"/>
    <w:rsid w:val="001925BF"/>
    <w:rsid w:val="0019262C"/>
    <w:rsid w:val="001928C7"/>
    <w:rsid w:val="00194A93"/>
    <w:rsid w:val="00195144"/>
    <w:rsid w:val="00195814"/>
    <w:rsid w:val="001961D4"/>
    <w:rsid w:val="00196250"/>
    <w:rsid w:val="0019643F"/>
    <w:rsid w:val="001966A7"/>
    <w:rsid w:val="001972B7"/>
    <w:rsid w:val="00197607"/>
    <w:rsid w:val="00197BA5"/>
    <w:rsid w:val="001A0017"/>
    <w:rsid w:val="001A0CF7"/>
    <w:rsid w:val="001A14E6"/>
    <w:rsid w:val="001A1799"/>
    <w:rsid w:val="001A1CAB"/>
    <w:rsid w:val="001A1D83"/>
    <w:rsid w:val="001A215E"/>
    <w:rsid w:val="001A2B4F"/>
    <w:rsid w:val="001A356D"/>
    <w:rsid w:val="001A36E3"/>
    <w:rsid w:val="001A435D"/>
    <w:rsid w:val="001A4FE1"/>
    <w:rsid w:val="001A5741"/>
    <w:rsid w:val="001A5C39"/>
    <w:rsid w:val="001A6104"/>
    <w:rsid w:val="001A659A"/>
    <w:rsid w:val="001A6AA8"/>
    <w:rsid w:val="001A6AF7"/>
    <w:rsid w:val="001A6D55"/>
    <w:rsid w:val="001A72A7"/>
    <w:rsid w:val="001A7B16"/>
    <w:rsid w:val="001A7F30"/>
    <w:rsid w:val="001B0645"/>
    <w:rsid w:val="001B07B3"/>
    <w:rsid w:val="001B115F"/>
    <w:rsid w:val="001B117A"/>
    <w:rsid w:val="001B1814"/>
    <w:rsid w:val="001B1BC0"/>
    <w:rsid w:val="001B29DD"/>
    <w:rsid w:val="001B3120"/>
    <w:rsid w:val="001B31CE"/>
    <w:rsid w:val="001B39C1"/>
    <w:rsid w:val="001B3D6D"/>
    <w:rsid w:val="001B47AF"/>
    <w:rsid w:val="001B4865"/>
    <w:rsid w:val="001B4A37"/>
    <w:rsid w:val="001B4E40"/>
    <w:rsid w:val="001B50EB"/>
    <w:rsid w:val="001B5627"/>
    <w:rsid w:val="001B571B"/>
    <w:rsid w:val="001B5BB1"/>
    <w:rsid w:val="001B6C2F"/>
    <w:rsid w:val="001B7544"/>
    <w:rsid w:val="001B77E4"/>
    <w:rsid w:val="001C0104"/>
    <w:rsid w:val="001C0758"/>
    <w:rsid w:val="001C11B6"/>
    <w:rsid w:val="001C121B"/>
    <w:rsid w:val="001C149F"/>
    <w:rsid w:val="001C1BAD"/>
    <w:rsid w:val="001C1DCA"/>
    <w:rsid w:val="001C1EFB"/>
    <w:rsid w:val="001C1F43"/>
    <w:rsid w:val="001C2473"/>
    <w:rsid w:val="001C2FCD"/>
    <w:rsid w:val="001C306D"/>
    <w:rsid w:val="001C32E2"/>
    <w:rsid w:val="001C378D"/>
    <w:rsid w:val="001C3A98"/>
    <w:rsid w:val="001C41EB"/>
    <w:rsid w:val="001C4486"/>
    <w:rsid w:val="001C48E1"/>
    <w:rsid w:val="001C4A9A"/>
    <w:rsid w:val="001C4D1D"/>
    <w:rsid w:val="001C515B"/>
    <w:rsid w:val="001C587B"/>
    <w:rsid w:val="001C5ACD"/>
    <w:rsid w:val="001C5CD8"/>
    <w:rsid w:val="001C67AE"/>
    <w:rsid w:val="001C698A"/>
    <w:rsid w:val="001C71EB"/>
    <w:rsid w:val="001C76D3"/>
    <w:rsid w:val="001C77B3"/>
    <w:rsid w:val="001C77BB"/>
    <w:rsid w:val="001D05D5"/>
    <w:rsid w:val="001D0C52"/>
    <w:rsid w:val="001D103D"/>
    <w:rsid w:val="001D17FF"/>
    <w:rsid w:val="001D196D"/>
    <w:rsid w:val="001D2E61"/>
    <w:rsid w:val="001D3235"/>
    <w:rsid w:val="001D3921"/>
    <w:rsid w:val="001D4161"/>
    <w:rsid w:val="001D4472"/>
    <w:rsid w:val="001D4DAF"/>
    <w:rsid w:val="001D520B"/>
    <w:rsid w:val="001D57EF"/>
    <w:rsid w:val="001D5F86"/>
    <w:rsid w:val="001D61E1"/>
    <w:rsid w:val="001D6D1D"/>
    <w:rsid w:val="001D73FA"/>
    <w:rsid w:val="001D7AE3"/>
    <w:rsid w:val="001D7F47"/>
    <w:rsid w:val="001E019D"/>
    <w:rsid w:val="001E0228"/>
    <w:rsid w:val="001E05DD"/>
    <w:rsid w:val="001E06F2"/>
    <w:rsid w:val="001E0B75"/>
    <w:rsid w:val="001E11DE"/>
    <w:rsid w:val="001E1961"/>
    <w:rsid w:val="001E1E4D"/>
    <w:rsid w:val="001E1EE6"/>
    <w:rsid w:val="001E29D5"/>
    <w:rsid w:val="001E2A11"/>
    <w:rsid w:val="001E35CF"/>
    <w:rsid w:val="001E3DA5"/>
    <w:rsid w:val="001E4A1F"/>
    <w:rsid w:val="001E5375"/>
    <w:rsid w:val="001E5783"/>
    <w:rsid w:val="001E5852"/>
    <w:rsid w:val="001E6AD8"/>
    <w:rsid w:val="001E6B20"/>
    <w:rsid w:val="001E736B"/>
    <w:rsid w:val="001E754F"/>
    <w:rsid w:val="001E7568"/>
    <w:rsid w:val="001E765E"/>
    <w:rsid w:val="001F00C0"/>
    <w:rsid w:val="001F00E7"/>
    <w:rsid w:val="001F0421"/>
    <w:rsid w:val="001F0D62"/>
    <w:rsid w:val="001F1143"/>
    <w:rsid w:val="001F1357"/>
    <w:rsid w:val="001F1428"/>
    <w:rsid w:val="001F168A"/>
    <w:rsid w:val="001F182C"/>
    <w:rsid w:val="001F1887"/>
    <w:rsid w:val="001F18B6"/>
    <w:rsid w:val="001F1B94"/>
    <w:rsid w:val="001F1CA4"/>
    <w:rsid w:val="001F1DF9"/>
    <w:rsid w:val="001F1E26"/>
    <w:rsid w:val="001F1F7D"/>
    <w:rsid w:val="001F2376"/>
    <w:rsid w:val="001F268C"/>
    <w:rsid w:val="001F2AB8"/>
    <w:rsid w:val="001F2B6C"/>
    <w:rsid w:val="001F2EAD"/>
    <w:rsid w:val="001F333B"/>
    <w:rsid w:val="001F34DA"/>
    <w:rsid w:val="001F3654"/>
    <w:rsid w:val="001F407B"/>
    <w:rsid w:val="001F419E"/>
    <w:rsid w:val="001F42ED"/>
    <w:rsid w:val="001F4ABA"/>
    <w:rsid w:val="001F4FDC"/>
    <w:rsid w:val="001F5956"/>
    <w:rsid w:val="001F6A50"/>
    <w:rsid w:val="001F7073"/>
    <w:rsid w:val="001F76BF"/>
    <w:rsid w:val="001F78AE"/>
    <w:rsid w:val="001F7A7C"/>
    <w:rsid w:val="001F7EF9"/>
    <w:rsid w:val="0020043B"/>
    <w:rsid w:val="00200D12"/>
    <w:rsid w:val="002019FB"/>
    <w:rsid w:val="00201D8A"/>
    <w:rsid w:val="002045FE"/>
    <w:rsid w:val="00204837"/>
    <w:rsid w:val="00204B9B"/>
    <w:rsid w:val="00204E1A"/>
    <w:rsid w:val="0020573A"/>
    <w:rsid w:val="00205C6C"/>
    <w:rsid w:val="00205CEE"/>
    <w:rsid w:val="00206025"/>
    <w:rsid w:val="002066AA"/>
    <w:rsid w:val="00206DAF"/>
    <w:rsid w:val="002070CA"/>
    <w:rsid w:val="002074D4"/>
    <w:rsid w:val="0020774C"/>
    <w:rsid w:val="002079C6"/>
    <w:rsid w:val="00210961"/>
    <w:rsid w:val="0021147A"/>
    <w:rsid w:val="002115DC"/>
    <w:rsid w:val="00211AC8"/>
    <w:rsid w:val="00211BB7"/>
    <w:rsid w:val="0021228C"/>
    <w:rsid w:val="00212451"/>
    <w:rsid w:val="0021293D"/>
    <w:rsid w:val="00212C05"/>
    <w:rsid w:val="002137E9"/>
    <w:rsid w:val="00213848"/>
    <w:rsid w:val="00213BC3"/>
    <w:rsid w:val="00213BD1"/>
    <w:rsid w:val="00214068"/>
    <w:rsid w:val="00214283"/>
    <w:rsid w:val="002142BB"/>
    <w:rsid w:val="00215228"/>
    <w:rsid w:val="002156E0"/>
    <w:rsid w:val="00215721"/>
    <w:rsid w:val="00215E3F"/>
    <w:rsid w:val="0021621E"/>
    <w:rsid w:val="0021674B"/>
    <w:rsid w:val="0021680E"/>
    <w:rsid w:val="00217012"/>
    <w:rsid w:val="00220173"/>
    <w:rsid w:val="002201D9"/>
    <w:rsid w:val="00221351"/>
    <w:rsid w:val="00221D54"/>
    <w:rsid w:val="00222116"/>
    <w:rsid w:val="0022296E"/>
    <w:rsid w:val="00222A50"/>
    <w:rsid w:val="00223699"/>
    <w:rsid w:val="00223B18"/>
    <w:rsid w:val="00223E7C"/>
    <w:rsid w:val="00224209"/>
    <w:rsid w:val="00224659"/>
    <w:rsid w:val="00224C87"/>
    <w:rsid w:val="002250F9"/>
    <w:rsid w:val="00225D22"/>
    <w:rsid w:val="00226467"/>
    <w:rsid w:val="00226541"/>
    <w:rsid w:val="00226BB9"/>
    <w:rsid w:val="00227170"/>
    <w:rsid w:val="00227F8B"/>
    <w:rsid w:val="002303DB"/>
    <w:rsid w:val="00230B61"/>
    <w:rsid w:val="00230CE5"/>
    <w:rsid w:val="00230F6A"/>
    <w:rsid w:val="002311E6"/>
    <w:rsid w:val="0023139A"/>
    <w:rsid w:val="0023141B"/>
    <w:rsid w:val="00231427"/>
    <w:rsid w:val="00231545"/>
    <w:rsid w:val="002317D8"/>
    <w:rsid w:val="00232380"/>
    <w:rsid w:val="002323FA"/>
    <w:rsid w:val="00232914"/>
    <w:rsid w:val="00232958"/>
    <w:rsid w:val="00232B4D"/>
    <w:rsid w:val="002330EE"/>
    <w:rsid w:val="0023333D"/>
    <w:rsid w:val="0023381B"/>
    <w:rsid w:val="00233846"/>
    <w:rsid w:val="00233985"/>
    <w:rsid w:val="00233BA4"/>
    <w:rsid w:val="00233E51"/>
    <w:rsid w:val="00233F0F"/>
    <w:rsid w:val="0023433B"/>
    <w:rsid w:val="002345E8"/>
    <w:rsid w:val="00234794"/>
    <w:rsid w:val="00235138"/>
    <w:rsid w:val="00235EBA"/>
    <w:rsid w:val="00235EDD"/>
    <w:rsid w:val="0023607C"/>
    <w:rsid w:val="002366D5"/>
    <w:rsid w:val="00236913"/>
    <w:rsid w:val="00236B79"/>
    <w:rsid w:val="00236E59"/>
    <w:rsid w:val="00237273"/>
    <w:rsid w:val="00237AFE"/>
    <w:rsid w:val="00240067"/>
    <w:rsid w:val="00240144"/>
    <w:rsid w:val="00240DC8"/>
    <w:rsid w:val="00240ECD"/>
    <w:rsid w:val="0024180C"/>
    <w:rsid w:val="00242014"/>
    <w:rsid w:val="002421B6"/>
    <w:rsid w:val="002425B1"/>
    <w:rsid w:val="00242745"/>
    <w:rsid w:val="002428CF"/>
    <w:rsid w:val="00243517"/>
    <w:rsid w:val="002437B2"/>
    <w:rsid w:val="00243825"/>
    <w:rsid w:val="00243943"/>
    <w:rsid w:val="00243BBD"/>
    <w:rsid w:val="00245093"/>
    <w:rsid w:val="00245656"/>
    <w:rsid w:val="00245823"/>
    <w:rsid w:val="00245C0A"/>
    <w:rsid w:val="00246853"/>
    <w:rsid w:val="00246AE8"/>
    <w:rsid w:val="00247322"/>
    <w:rsid w:val="0024763A"/>
    <w:rsid w:val="00247873"/>
    <w:rsid w:val="00247936"/>
    <w:rsid w:val="00247B76"/>
    <w:rsid w:val="00247EE6"/>
    <w:rsid w:val="00251F95"/>
    <w:rsid w:val="00252466"/>
    <w:rsid w:val="00252590"/>
    <w:rsid w:val="00252869"/>
    <w:rsid w:val="00254771"/>
    <w:rsid w:val="00254ECB"/>
    <w:rsid w:val="002553AD"/>
    <w:rsid w:val="00255B39"/>
    <w:rsid w:val="00255D71"/>
    <w:rsid w:val="00255E65"/>
    <w:rsid w:val="002560E5"/>
    <w:rsid w:val="0025679C"/>
    <w:rsid w:val="002568A6"/>
    <w:rsid w:val="00256BEF"/>
    <w:rsid w:val="00256CDB"/>
    <w:rsid w:val="00257521"/>
    <w:rsid w:val="00257B21"/>
    <w:rsid w:val="00257C1E"/>
    <w:rsid w:val="0026040B"/>
    <w:rsid w:val="00260611"/>
    <w:rsid w:val="00260783"/>
    <w:rsid w:val="00260ABB"/>
    <w:rsid w:val="0026103A"/>
    <w:rsid w:val="00261AF1"/>
    <w:rsid w:val="00261D61"/>
    <w:rsid w:val="00261DC3"/>
    <w:rsid w:val="00262611"/>
    <w:rsid w:val="002629F4"/>
    <w:rsid w:val="00262C57"/>
    <w:rsid w:val="002632D4"/>
    <w:rsid w:val="00263538"/>
    <w:rsid w:val="00263A66"/>
    <w:rsid w:val="00263B27"/>
    <w:rsid w:val="00263F90"/>
    <w:rsid w:val="002641AA"/>
    <w:rsid w:val="00264C19"/>
    <w:rsid w:val="00264DD5"/>
    <w:rsid w:val="0026514C"/>
    <w:rsid w:val="002661FB"/>
    <w:rsid w:val="002666B6"/>
    <w:rsid w:val="00266BAE"/>
    <w:rsid w:val="00266D6B"/>
    <w:rsid w:val="002709CF"/>
    <w:rsid w:val="00270D2E"/>
    <w:rsid w:val="00271217"/>
    <w:rsid w:val="00271366"/>
    <w:rsid w:val="00271A25"/>
    <w:rsid w:val="00271B72"/>
    <w:rsid w:val="00272DCB"/>
    <w:rsid w:val="002737F9"/>
    <w:rsid w:val="00273946"/>
    <w:rsid w:val="00273A03"/>
    <w:rsid w:val="00273B2D"/>
    <w:rsid w:val="00273E0D"/>
    <w:rsid w:val="00273F27"/>
    <w:rsid w:val="00274013"/>
    <w:rsid w:val="0027428F"/>
    <w:rsid w:val="00274699"/>
    <w:rsid w:val="0027475E"/>
    <w:rsid w:val="00274D7F"/>
    <w:rsid w:val="00275CF8"/>
    <w:rsid w:val="00275D7C"/>
    <w:rsid w:val="00276382"/>
    <w:rsid w:val="002769AF"/>
    <w:rsid w:val="002769C7"/>
    <w:rsid w:val="002771D5"/>
    <w:rsid w:val="00277262"/>
    <w:rsid w:val="0027767D"/>
    <w:rsid w:val="0027784C"/>
    <w:rsid w:val="002779E4"/>
    <w:rsid w:val="00277D35"/>
    <w:rsid w:val="002802F3"/>
    <w:rsid w:val="0028096F"/>
    <w:rsid w:val="00280A26"/>
    <w:rsid w:val="00280E04"/>
    <w:rsid w:val="00281341"/>
    <w:rsid w:val="002815F0"/>
    <w:rsid w:val="00281E03"/>
    <w:rsid w:val="00281E8C"/>
    <w:rsid w:val="00281EA7"/>
    <w:rsid w:val="002822EE"/>
    <w:rsid w:val="0028298F"/>
    <w:rsid w:val="00282E57"/>
    <w:rsid w:val="00282EE4"/>
    <w:rsid w:val="00283FDF"/>
    <w:rsid w:val="002843F6"/>
    <w:rsid w:val="00284B3F"/>
    <w:rsid w:val="00284EB0"/>
    <w:rsid w:val="00284FB7"/>
    <w:rsid w:val="00285882"/>
    <w:rsid w:val="00286C3A"/>
    <w:rsid w:val="00286CF9"/>
    <w:rsid w:val="00287764"/>
    <w:rsid w:val="00290819"/>
    <w:rsid w:val="002914E5"/>
    <w:rsid w:val="00291E40"/>
    <w:rsid w:val="002924B8"/>
    <w:rsid w:val="002931FE"/>
    <w:rsid w:val="002935CF"/>
    <w:rsid w:val="00294B7C"/>
    <w:rsid w:val="00295A9D"/>
    <w:rsid w:val="002961D9"/>
    <w:rsid w:val="00296DBC"/>
    <w:rsid w:val="00296EA5"/>
    <w:rsid w:val="0029728D"/>
    <w:rsid w:val="00297548"/>
    <w:rsid w:val="00297DE1"/>
    <w:rsid w:val="00297EB8"/>
    <w:rsid w:val="00297FB1"/>
    <w:rsid w:val="002A0319"/>
    <w:rsid w:val="002A0414"/>
    <w:rsid w:val="002A087A"/>
    <w:rsid w:val="002A0BBA"/>
    <w:rsid w:val="002A0F3D"/>
    <w:rsid w:val="002A1949"/>
    <w:rsid w:val="002A1A32"/>
    <w:rsid w:val="002A1B34"/>
    <w:rsid w:val="002A2B9F"/>
    <w:rsid w:val="002A2F83"/>
    <w:rsid w:val="002A3060"/>
    <w:rsid w:val="002A3E02"/>
    <w:rsid w:val="002A3E7E"/>
    <w:rsid w:val="002A404D"/>
    <w:rsid w:val="002A4D35"/>
    <w:rsid w:val="002A4DC4"/>
    <w:rsid w:val="002A5342"/>
    <w:rsid w:val="002A557F"/>
    <w:rsid w:val="002A5B89"/>
    <w:rsid w:val="002A5EFF"/>
    <w:rsid w:val="002A6356"/>
    <w:rsid w:val="002A63BF"/>
    <w:rsid w:val="002A68DE"/>
    <w:rsid w:val="002A79C9"/>
    <w:rsid w:val="002B00B7"/>
    <w:rsid w:val="002B09DE"/>
    <w:rsid w:val="002B0D57"/>
    <w:rsid w:val="002B0F7A"/>
    <w:rsid w:val="002B1320"/>
    <w:rsid w:val="002B1748"/>
    <w:rsid w:val="002B1754"/>
    <w:rsid w:val="002B2252"/>
    <w:rsid w:val="002B23B9"/>
    <w:rsid w:val="002B2655"/>
    <w:rsid w:val="002B27DA"/>
    <w:rsid w:val="002B4902"/>
    <w:rsid w:val="002B4F79"/>
    <w:rsid w:val="002B511D"/>
    <w:rsid w:val="002B5158"/>
    <w:rsid w:val="002B5571"/>
    <w:rsid w:val="002B56B7"/>
    <w:rsid w:val="002B56CB"/>
    <w:rsid w:val="002B5A51"/>
    <w:rsid w:val="002B6304"/>
    <w:rsid w:val="002B63E3"/>
    <w:rsid w:val="002B6623"/>
    <w:rsid w:val="002B6D6D"/>
    <w:rsid w:val="002B6E43"/>
    <w:rsid w:val="002B718A"/>
    <w:rsid w:val="002B74A3"/>
    <w:rsid w:val="002B7A72"/>
    <w:rsid w:val="002B7AA1"/>
    <w:rsid w:val="002C01AE"/>
    <w:rsid w:val="002C038F"/>
    <w:rsid w:val="002C06D8"/>
    <w:rsid w:val="002C1403"/>
    <w:rsid w:val="002C140E"/>
    <w:rsid w:val="002C1536"/>
    <w:rsid w:val="002C16F9"/>
    <w:rsid w:val="002C2316"/>
    <w:rsid w:val="002C33A8"/>
    <w:rsid w:val="002C43BD"/>
    <w:rsid w:val="002C46F3"/>
    <w:rsid w:val="002C4A3F"/>
    <w:rsid w:val="002C5597"/>
    <w:rsid w:val="002C56D1"/>
    <w:rsid w:val="002C5B9F"/>
    <w:rsid w:val="002C65B4"/>
    <w:rsid w:val="002C6A86"/>
    <w:rsid w:val="002C6D83"/>
    <w:rsid w:val="002C6F93"/>
    <w:rsid w:val="002C765C"/>
    <w:rsid w:val="002C7A20"/>
    <w:rsid w:val="002C7CBC"/>
    <w:rsid w:val="002D0174"/>
    <w:rsid w:val="002D0446"/>
    <w:rsid w:val="002D0869"/>
    <w:rsid w:val="002D0A9A"/>
    <w:rsid w:val="002D12B4"/>
    <w:rsid w:val="002D283F"/>
    <w:rsid w:val="002D3510"/>
    <w:rsid w:val="002D35E5"/>
    <w:rsid w:val="002D3A7F"/>
    <w:rsid w:val="002D3E94"/>
    <w:rsid w:val="002D425C"/>
    <w:rsid w:val="002D4420"/>
    <w:rsid w:val="002D46FD"/>
    <w:rsid w:val="002D4747"/>
    <w:rsid w:val="002D47DC"/>
    <w:rsid w:val="002D4862"/>
    <w:rsid w:val="002D521D"/>
    <w:rsid w:val="002D5B3B"/>
    <w:rsid w:val="002D6532"/>
    <w:rsid w:val="002D70B4"/>
    <w:rsid w:val="002D7440"/>
    <w:rsid w:val="002D7833"/>
    <w:rsid w:val="002E0C08"/>
    <w:rsid w:val="002E0EDF"/>
    <w:rsid w:val="002E1051"/>
    <w:rsid w:val="002E200C"/>
    <w:rsid w:val="002E23FF"/>
    <w:rsid w:val="002E25FE"/>
    <w:rsid w:val="002E2628"/>
    <w:rsid w:val="002E2870"/>
    <w:rsid w:val="002E3F9A"/>
    <w:rsid w:val="002E457E"/>
    <w:rsid w:val="002E474F"/>
    <w:rsid w:val="002E4AAB"/>
    <w:rsid w:val="002E52EF"/>
    <w:rsid w:val="002E5681"/>
    <w:rsid w:val="002E577D"/>
    <w:rsid w:val="002E5AA6"/>
    <w:rsid w:val="002E6435"/>
    <w:rsid w:val="002E6C40"/>
    <w:rsid w:val="002E7184"/>
    <w:rsid w:val="002E74D3"/>
    <w:rsid w:val="002E785B"/>
    <w:rsid w:val="002E7C10"/>
    <w:rsid w:val="002F0AB9"/>
    <w:rsid w:val="002F0CE7"/>
    <w:rsid w:val="002F0FDD"/>
    <w:rsid w:val="002F1892"/>
    <w:rsid w:val="002F1E18"/>
    <w:rsid w:val="002F2914"/>
    <w:rsid w:val="002F2CA1"/>
    <w:rsid w:val="002F38FD"/>
    <w:rsid w:val="002F42E1"/>
    <w:rsid w:val="002F4661"/>
    <w:rsid w:val="002F4DAC"/>
    <w:rsid w:val="002F5315"/>
    <w:rsid w:val="002F562F"/>
    <w:rsid w:val="002F6097"/>
    <w:rsid w:val="002F6504"/>
    <w:rsid w:val="002F7E95"/>
    <w:rsid w:val="00300350"/>
    <w:rsid w:val="003005D0"/>
    <w:rsid w:val="0030094C"/>
    <w:rsid w:val="003009DC"/>
    <w:rsid w:val="00300C22"/>
    <w:rsid w:val="0030140C"/>
    <w:rsid w:val="003020A1"/>
    <w:rsid w:val="0030215A"/>
    <w:rsid w:val="00302508"/>
    <w:rsid w:val="00302D60"/>
    <w:rsid w:val="00303A7E"/>
    <w:rsid w:val="00304BC1"/>
    <w:rsid w:val="00304C9E"/>
    <w:rsid w:val="00306635"/>
    <w:rsid w:val="003069C2"/>
    <w:rsid w:val="00307624"/>
    <w:rsid w:val="00307727"/>
    <w:rsid w:val="0030780F"/>
    <w:rsid w:val="00307E47"/>
    <w:rsid w:val="00307F72"/>
    <w:rsid w:val="00307FD2"/>
    <w:rsid w:val="003102D0"/>
    <w:rsid w:val="00310422"/>
    <w:rsid w:val="00310C41"/>
    <w:rsid w:val="00311247"/>
    <w:rsid w:val="003115B8"/>
    <w:rsid w:val="00311AAE"/>
    <w:rsid w:val="00311ABC"/>
    <w:rsid w:val="00311F6D"/>
    <w:rsid w:val="0031239E"/>
    <w:rsid w:val="003123A2"/>
    <w:rsid w:val="00312E46"/>
    <w:rsid w:val="0031315E"/>
    <w:rsid w:val="00313173"/>
    <w:rsid w:val="003132B5"/>
    <w:rsid w:val="00313501"/>
    <w:rsid w:val="00313C66"/>
    <w:rsid w:val="00313D32"/>
    <w:rsid w:val="003146F2"/>
    <w:rsid w:val="00315119"/>
    <w:rsid w:val="0031541E"/>
    <w:rsid w:val="0031594B"/>
    <w:rsid w:val="003160E2"/>
    <w:rsid w:val="003164C4"/>
    <w:rsid w:val="00316A7A"/>
    <w:rsid w:val="003170EA"/>
    <w:rsid w:val="00320547"/>
    <w:rsid w:val="00320F75"/>
    <w:rsid w:val="003212A6"/>
    <w:rsid w:val="00321B13"/>
    <w:rsid w:val="00322029"/>
    <w:rsid w:val="00322BF1"/>
    <w:rsid w:val="00322CAA"/>
    <w:rsid w:val="00322DAA"/>
    <w:rsid w:val="00322DFE"/>
    <w:rsid w:val="00322E0F"/>
    <w:rsid w:val="003232D8"/>
    <w:rsid w:val="00323594"/>
    <w:rsid w:val="00323A97"/>
    <w:rsid w:val="00323C48"/>
    <w:rsid w:val="00323DE7"/>
    <w:rsid w:val="00323ECE"/>
    <w:rsid w:val="00324431"/>
    <w:rsid w:val="00325978"/>
    <w:rsid w:val="00325E06"/>
    <w:rsid w:val="003261AA"/>
    <w:rsid w:val="00326664"/>
    <w:rsid w:val="00326C7D"/>
    <w:rsid w:val="0032732F"/>
    <w:rsid w:val="003274AF"/>
    <w:rsid w:val="00327601"/>
    <w:rsid w:val="0033091D"/>
    <w:rsid w:val="00330E6C"/>
    <w:rsid w:val="0033144E"/>
    <w:rsid w:val="00331C4B"/>
    <w:rsid w:val="00331E4B"/>
    <w:rsid w:val="0033349B"/>
    <w:rsid w:val="0033365C"/>
    <w:rsid w:val="00334164"/>
    <w:rsid w:val="003341CE"/>
    <w:rsid w:val="003343CC"/>
    <w:rsid w:val="003343D7"/>
    <w:rsid w:val="003343DB"/>
    <w:rsid w:val="00334862"/>
    <w:rsid w:val="00334EB7"/>
    <w:rsid w:val="00335E87"/>
    <w:rsid w:val="00335ED7"/>
    <w:rsid w:val="00335F03"/>
    <w:rsid w:val="00336066"/>
    <w:rsid w:val="003365DC"/>
    <w:rsid w:val="0033683C"/>
    <w:rsid w:val="00336D73"/>
    <w:rsid w:val="00336E30"/>
    <w:rsid w:val="0033764B"/>
    <w:rsid w:val="00337F06"/>
    <w:rsid w:val="003405AF"/>
    <w:rsid w:val="00340A22"/>
    <w:rsid w:val="00341799"/>
    <w:rsid w:val="003425D9"/>
    <w:rsid w:val="003429DF"/>
    <w:rsid w:val="003431B0"/>
    <w:rsid w:val="0034427E"/>
    <w:rsid w:val="00344377"/>
    <w:rsid w:val="00344B23"/>
    <w:rsid w:val="003457E7"/>
    <w:rsid w:val="00345F98"/>
    <w:rsid w:val="0034638A"/>
    <w:rsid w:val="00346A38"/>
    <w:rsid w:val="00346CE8"/>
    <w:rsid w:val="00346F16"/>
    <w:rsid w:val="00346F71"/>
    <w:rsid w:val="00347510"/>
    <w:rsid w:val="00350341"/>
    <w:rsid w:val="00350796"/>
    <w:rsid w:val="00350B02"/>
    <w:rsid w:val="00350E3B"/>
    <w:rsid w:val="00351629"/>
    <w:rsid w:val="00351A14"/>
    <w:rsid w:val="00351A43"/>
    <w:rsid w:val="00351F0C"/>
    <w:rsid w:val="00352B37"/>
    <w:rsid w:val="00352C72"/>
    <w:rsid w:val="00352D1D"/>
    <w:rsid w:val="00352D34"/>
    <w:rsid w:val="0035347B"/>
    <w:rsid w:val="00353AE3"/>
    <w:rsid w:val="00353C9A"/>
    <w:rsid w:val="00354027"/>
    <w:rsid w:val="003544C2"/>
    <w:rsid w:val="003549A2"/>
    <w:rsid w:val="00354CED"/>
    <w:rsid w:val="00355D90"/>
    <w:rsid w:val="0035669C"/>
    <w:rsid w:val="00356A95"/>
    <w:rsid w:val="00357029"/>
    <w:rsid w:val="00357497"/>
    <w:rsid w:val="0035764F"/>
    <w:rsid w:val="003578FD"/>
    <w:rsid w:val="00357A44"/>
    <w:rsid w:val="003600D1"/>
    <w:rsid w:val="003603F8"/>
    <w:rsid w:val="00360A3D"/>
    <w:rsid w:val="00360BFF"/>
    <w:rsid w:val="00360DA4"/>
    <w:rsid w:val="00360EDE"/>
    <w:rsid w:val="003611DC"/>
    <w:rsid w:val="003618C0"/>
    <w:rsid w:val="00361919"/>
    <w:rsid w:val="00362436"/>
    <w:rsid w:val="0036243C"/>
    <w:rsid w:val="00362A07"/>
    <w:rsid w:val="00362A67"/>
    <w:rsid w:val="0036357B"/>
    <w:rsid w:val="003648AC"/>
    <w:rsid w:val="00364F62"/>
    <w:rsid w:val="00365170"/>
    <w:rsid w:val="003652CA"/>
    <w:rsid w:val="00365F14"/>
    <w:rsid w:val="0036667E"/>
    <w:rsid w:val="00366E3B"/>
    <w:rsid w:val="0036742C"/>
    <w:rsid w:val="00367C35"/>
    <w:rsid w:val="00367C89"/>
    <w:rsid w:val="00367CAD"/>
    <w:rsid w:val="00370D87"/>
    <w:rsid w:val="003724B8"/>
    <w:rsid w:val="00372901"/>
    <w:rsid w:val="00372F10"/>
    <w:rsid w:val="003731DC"/>
    <w:rsid w:val="003735D2"/>
    <w:rsid w:val="00373908"/>
    <w:rsid w:val="0037476F"/>
    <w:rsid w:val="00375A48"/>
    <w:rsid w:val="00375C1C"/>
    <w:rsid w:val="00375D53"/>
    <w:rsid w:val="00375F0F"/>
    <w:rsid w:val="0037646F"/>
    <w:rsid w:val="00376F66"/>
    <w:rsid w:val="003770B6"/>
    <w:rsid w:val="00380729"/>
    <w:rsid w:val="00380FA5"/>
    <w:rsid w:val="0038116E"/>
    <w:rsid w:val="00381856"/>
    <w:rsid w:val="003818A0"/>
    <w:rsid w:val="00381F2E"/>
    <w:rsid w:val="0038245A"/>
    <w:rsid w:val="003829B8"/>
    <w:rsid w:val="003833E5"/>
    <w:rsid w:val="00383448"/>
    <w:rsid w:val="003845DC"/>
    <w:rsid w:val="003846DD"/>
    <w:rsid w:val="003847DE"/>
    <w:rsid w:val="00384E36"/>
    <w:rsid w:val="00384F00"/>
    <w:rsid w:val="00385360"/>
    <w:rsid w:val="0038618E"/>
    <w:rsid w:val="00386743"/>
    <w:rsid w:val="00386CBB"/>
    <w:rsid w:val="00386FE7"/>
    <w:rsid w:val="00387C92"/>
    <w:rsid w:val="00387CF5"/>
    <w:rsid w:val="00387F17"/>
    <w:rsid w:val="0039022E"/>
    <w:rsid w:val="003908BE"/>
    <w:rsid w:val="00391392"/>
    <w:rsid w:val="0039173E"/>
    <w:rsid w:val="003917AC"/>
    <w:rsid w:val="0039254F"/>
    <w:rsid w:val="003933DB"/>
    <w:rsid w:val="00393A6B"/>
    <w:rsid w:val="00393F1B"/>
    <w:rsid w:val="00393FA9"/>
    <w:rsid w:val="0039458D"/>
    <w:rsid w:val="003945A5"/>
    <w:rsid w:val="00394F78"/>
    <w:rsid w:val="00395320"/>
    <w:rsid w:val="003960B8"/>
    <w:rsid w:val="0039618F"/>
    <w:rsid w:val="00396478"/>
    <w:rsid w:val="003964FB"/>
    <w:rsid w:val="003965B8"/>
    <w:rsid w:val="00396DBD"/>
    <w:rsid w:val="003973D1"/>
    <w:rsid w:val="0039757E"/>
    <w:rsid w:val="00397D34"/>
    <w:rsid w:val="00397F49"/>
    <w:rsid w:val="003A0874"/>
    <w:rsid w:val="003A0E76"/>
    <w:rsid w:val="003A1703"/>
    <w:rsid w:val="003A1ED8"/>
    <w:rsid w:val="003A1EF8"/>
    <w:rsid w:val="003A2363"/>
    <w:rsid w:val="003A267E"/>
    <w:rsid w:val="003A28DD"/>
    <w:rsid w:val="003A29C0"/>
    <w:rsid w:val="003A2FF0"/>
    <w:rsid w:val="003A3691"/>
    <w:rsid w:val="003A39AD"/>
    <w:rsid w:val="003A3EE2"/>
    <w:rsid w:val="003A3F89"/>
    <w:rsid w:val="003A4510"/>
    <w:rsid w:val="003A482C"/>
    <w:rsid w:val="003A558E"/>
    <w:rsid w:val="003A5D79"/>
    <w:rsid w:val="003A666D"/>
    <w:rsid w:val="003A7627"/>
    <w:rsid w:val="003A773B"/>
    <w:rsid w:val="003B0605"/>
    <w:rsid w:val="003B0738"/>
    <w:rsid w:val="003B0A96"/>
    <w:rsid w:val="003B105A"/>
    <w:rsid w:val="003B1860"/>
    <w:rsid w:val="003B2121"/>
    <w:rsid w:val="003B22A2"/>
    <w:rsid w:val="003B23AF"/>
    <w:rsid w:val="003B24F4"/>
    <w:rsid w:val="003B276B"/>
    <w:rsid w:val="003B2F19"/>
    <w:rsid w:val="003B31E1"/>
    <w:rsid w:val="003B3482"/>
    <w:rsid w:val="003B383C"/>
    <w:rsid w:val="003B40F1"/>
    <w:rsid w:val="003B4467"/>
    <w:rsid w:val="003B4559"/>
    <w:rsid w:val="003B48CD"/>
    <w:rsid w:val="003B4E49"/>
    <w:rsid w:val="003B5206"/>
    <w:rsid w:val="003B542E"/>
    <w:rsid w:val="003B54FC"/>
    <w:rsid w:val="003B571A"/>
    <w:rsid w:val="003B630D"/>
    <w:rsid w:val="003B683B"/>
    <w:rsid w:val="003B68F3"/>
    <w:rsid w:val="003B6ED3"/>
    <w:rsid w:val="003B72BB"/>
    <w:rsid w:val="003B72DC"/>
    <w:rsid w:val="003C0156"/>
    <w:rsid w:val="003C05CF"/>
    <w:rsid w:val="003C0893"/>
    <w:rsid w:val="003C0BBE"/>
    <w:rsid w:val="003C13A4"/>
    <w:rsid w:val="003C1748"/>
    <w:rsid w:val="003C1E8A"/>
    <w:rsid w:val="003C202C"/>
    <w:rsid w:val="003C28B6"/>
    <w:rsid w:val="003C3509"/>
    <w:rsid w:val="003C3BB9"/>
    <w:rsid w:val="003C3E56"/>
    <w:rsid w:val="003C491E"/>
    <w:rsid w:val="003C4CC4"/>
    <w:rsid w:val="003C4E3D"/>
    <w:rsid w:val="003C54CF"/>
    <w:rsid w:val="003C5974"/>
    <w:rsid w:val="003C5B6E"/>
    <w:rsid w:val="003C5FD7"/>
    <w:rsid w:val="003C6CAA"/>
    <w:rsid w:val="003C6E44"/>
    <w:rsid w:val="003C7D57"/>
    <w:rsid w:val="003C7EEE"/>
    <w:rsid w:val="003D014D"/>
    <w:rsid w:val="003D075A"/>
    <w:rsid w:val="003D106D"/>
    <w:rsid w:val="003D1332"/>
    <w:rsid w:val="003D1484"/>
    <w:rsid w:val="003D15D6"/>
    <w:rsid w:val="003D1776"/>
    <w:rsid w:val="003D18CE"/>
    <w:rsid w:val="003D1AEA"/>
    <w:rsid w:val="003D1FE6"/>
    <w:rsid w:val="003D291F"/>
    <w:rsid w:val="003D376E"/>
    <w:rsid w:val="003D39E9"/>
    <w:rsid w:val="003D3D00"/>
    <w:rsid w:val="003D42DA"/>
    <w:rsid w:val="003D43DC"/>
    <w:rsid w:val="003D45C6"/>
    <w:rsid w:val="003D5C96"/>
    <w:rsid w:val="003D5EC2"/>
    <w:rsid w:val="003D5F91"/>
    <w:rsid w:val="003D6CDF"/>
    <w:rsid w:val="003D738A"/>
    <w:rsid w:val="003D76BA"/>
    <w:rsid w:val="003D7B20"/>
    <w:rsid w:val="003D7CC0"/>
    <w:rsid w:val="003D7D33"/>
    <w:rsid w:val="003D7E6F"/>
    <w:rsid w:val="003E0171"/>
    <w:rsid w:val="003E01DE"/>
    <w:rsid w:val="003E0435"/>
    <w:rsid w:val="003E04C9"/>
    <w:rsid w:val="003E07AD"/>
    <w:rsid w:val="003E0978"/>
    <w:rsid w:val="003E15FD"/>
    <w:rsid w:val="003E185D"/>
    <w:rsid w:val="003E2DDF"/>
    <w:rsid w:val="003E35F2"/>
    <w:rsid w:val="003E37BF"/>
    <w:rsid w:val="003E3C1B"/>
    <w:rsid w:val="003E405B"/>
    <w:rsid w:val="003E45E6"/>
    <w:rsid w:val="003E47A3"/>
    <w:rsid w:val="003E4CBB"/>
    <w:rsid w:val="003E522B"/>
    <w:rsid w:val="003E55E3"/>
    <w:rsid w:val="003E5B55"/>
    <w:rsid w:val="003E5E2B"/>
    <w:rsid w:val="003E600E"/>
    <w:rsid w:val="003E6828"/>
    <w:rsid w:val="003E726B"/>
    <w:rsid w:val="003E7325"/>
    <w:rsid w:val="003E7AF8"/>
    <w:rsid w:val="003E7F7B"/>
    <w:rsid w:val="003F035D"/>
    <w:rsid w:val="003F0C31"/>
    <w:rsid w:val="003F0E2E"/>
    <w:rsid w:val="003F1042"/>
    <w:rsid w:val="003F123F"/>
    <w:rsid w:val="003F1CF3"/>
    <w:rsid w:val="003F2706"/>
    <w:rsid w:val="003F28EF"/>
    <w:rsid w:val="003F2E27"/>
    <w:rsid w:val="003F39FA"/>
    <w:rsid w:val="003F3BE9"/>
    <w:rsid w:val="003F3F20"/>
    <w:rsid w:val="003F4060"/>
    <w:rsid w:val="003F4334"/>
    <w:rsid w:val="003F4536"/>
    <w:rsid w:val="003F456D"/>
    <w:rsid w:val="003F474F"/>
    <w:rsid w:val="003F49E8"/>
    <w:rsid w:val="003F4A88"/>
    <w:rsid w:val="003F4C02"/>
    <w:rsid w:val="003F5439"/>
    <w:rsid w:val="003F54E8"/>
    <w:rsid w:val="003F5B77"/>
    <w:rsid w:val="003F6B49"/>
    <w:rsid w:val="003F7572"/>
    <w:rsid w:val="00400328"/>
    <w:rsid w:val="00400350"/>
    <w:rsid w:val="004003E9"/>
    <w:rsid w:val="0040073E"/>
    <w:rsid w:val="00400D5D"/>
    <w:rsid w:val="004012C1"/>
    <w:rsid w:val="00401582"/>
    <w:rsid w:val="00401709"/>
    <w:rsid w:val="004019D5"/>
    <w:rsid w:val="00401B43"/>
    <w:rsid w:val="00402432"/>
    <w:rsid w:val="004026B8"/>
    <w:rsid w:val="0040285F"/>
    <w:rsid w:val="00402C58"/>
    <w:rsid w:val="004036F2"/>
    <w:rsid w:val="0040419E"/>
    <w:rsid w:val="00404298"/>
    <w:rsid w:val="0040448D"/>
    <w:rsid w:val="00404E1E"/>
    <w:rsid w:val="00404E24"/>
    <w:rsid w:val="004056E9"/>
    <w:rsid w:val="00405A98"/>
    <w:rsid w:val="00407E8D"/>
    <w:rsid w:val="0041044F"/>
    <w:rsid w:val="0041057D"/>
    <w:rsid w:val="004105EA"/>
    <w:rsid w:val="004106BD"/>
    <w:rsid w:val="0041079F"/>
    <w:rsid w:val="0041119B"/>
    <w:rsid w:val="00411205"/>
    <w:rsid w:val="00411672"/>
    <w:rsid w:val="0041222F"/>
    <w:rsid w:val="00412261"/>
    <w:rsid w:val="00412A3C"/>
    <w:rsid w:val="0041319A"/>
    <w:rsid w:val="0041399A"/>
    <w:rsid w:val="00413A9E"/>
    <w:rsid w:val="00413E6D"/>
    <w:rsid w:val="00413F61"/>
    <w:rsid w:val="00414D0A"/>
    <w:rsid w:val="004152BF"/>
    <w:rsid w:val="00415B1A"/>
    <w:rsid w:val="00415CBF"/>
    <w:rsid w:val="00416296"/>
    <w:rsid w:val="004164E1"/>
    <w:rsid w:val="0041718C"/>
    <w:rsid w:val="004172BC"/>
    <w:rsid w:val="004175F2"/>
    <w:rsid w:val="0041796D"/>
    <w:rsid w:val="004179FF"/>
    <w:rsid w:val="00420125"/>
    <w:rsid w:val="004203C8"/>
    <w:rsid w:val="0042157D"/>
    <w:rsid w:val="004219F5"/>
    <w:rsid w:val="00421AD8"/>
    <w:rsid w:val="00421FEC"/>
    <w:rsid w:val="00422765"/>
    <w:rsid w:val="00422B0A"/>
    <w:rsid w:val="00422D25"/>
    <w:rsid w:val="00424940"/>
    <w:rsid w:val="00424B96"/>
    <w:rsid w:val="00424EEB"/>
    <w:rsid w:val="004253FB"/>
    <w:rsid w:val="004269F1"/>
    <w:rsid w:val="00427207"/>
    <w:rsid w:val="004275BE"/>
    <w:rsid w:val="00430376"/>
    <w:rsid w:val="00430C6A"/>
    <w:rsid w:val="0043190E"/>
    <w:rsid w:val="00431DA6"/>
    <w:rsid w:val="0043207E"/>
    <w:rsid w:val="00432FE0"/>
    <w:rsid w:val="00433423"/>
    <w:rsid w:val="00434207"/>
    <w:rsid w:val="004347F3"/>
    <w:rsid w:val="00434953"/>
    <w:rsid w:val="00434B58"/>
    <w:rsid w:val="00435013"/>
    <w:rsid w:val="004355D6"/>
    <w:rsid w:val="00436768"/>
    <w:rsid w:val="00436AB9"/>
    <w:rsid w:val="0043724D"/>
    <w:rsid w:val="00437423"/>
    <w:rsid w:val="0044010E"/>
    <w:rsid w:val="00440495"/>
    <w:rsid w:val="00440C8C"/>
    <w:rsid w:val="004415FE"/>
    <w:rsid w:val="00441AA3"/>
    <w:rsid w:val="004423BE"/>
    <w:rsid w:val="00442A22"/>
    <w:rsid w:val="00442E30"/>
    <w:rsid w:val="00443457"/>
    <w:rsid w:val="00443715"/>
    <w:rsid w:val="00443C8A"/>
    <w:rsid w:val="0044454C"/>
    <w:rsid w:val="00444837"/>
    <w:rsid w:val="00444B2A"/>
    <w:rsid w:val="00444DA2"/>
    <w:rsid w:val="00444E1C"/>
    <w:rsid w:val="00444FEF"/>
    <w:rsid w:val="00445752"/>
    <w:rsid w:val="004458A4"/>
    <w:rsid w:val="00445F94"/>
    <w:rsid w:val="0044670B"/>
    <w:rsid w:val="00446811"/>
    <w:rsid w:val="00446B8C"/>
    <w:rsid w:val="004474A5"/>
    <w:rsid w:val="0044763A"/>
    <w:rsid w:val="00447C88"/>
    <w:rsid w:val="004501C6"/>
    <w:rsid w:val="004502B5"/>
    <w:rsid w:val="00450643"/>
    <w:rsid w:val="00450909"/>
    <w:rsid w:val="00451052"/>
    <w:rsid w:val="00451212"/>
    <w:rsid w:val="0045127C"/>
    <w:rsid w:val="00451516"/>
    <w:rsid w:val="00451694"/>
    <w:rsid w:val="0045270B"/>
    <w:rsid w:val="00452766"/>
    <w:rsid w:val="004527E3"/>
    <w:rsid w:val="00453C85"/>
    <w:rsid w:val="0045442C"/>
    <w:rsid w:val="00455E42"/>
    <w:rsid w:val="0045610D"/>
    <w:rsid w:val="0045662D"/>
    <w:rsid w:val="004567A0"/>
    <w:rsid w:val="00456CA0"/>
    <w:rsid w:val="00457147"/>
    <w:rsid w:val="004572CF"/>
    <w:rsid w:val="00457CD7"/>
    <w:rsid w:val="00460275"/>
    <w:rsid w:val="004611FA"/>
    <w:rsid w:val="0046149E"/>
    <w:rsid w:val="00461789"/>
    <w:rsid w:val="004620D1"/>
    <w:rsid w:val="00462309"/>
    <w:rsid w:val="004624B2"/>
    <w:rsid w:val="00462BDB"/>
    <w:rsid w:val="004630E8"/>
    <w:rsid w:val="004633BC"/>
    <w:rsid w:val="00463B55"/>
    <w:rsid w:val="00463E0E"/>
    <w:rsid w:val="00464426"/>
    <w:rsid w:val="0046457D"/>
    <w:rsid w:val="00464710"/>
    <w:rsid w:val="00464827"/>
    <w:rsid w:val="0046599C"/>
    <w:rsid w:val="00466F76"/>
    <w:rsid w:val="0046724B"/>
    <w:rsid w:val="00467388"/>
    <w:rsid w:val="004677F4"/>
    <w:rsid w:val="00470201"/>
    <w:rsid w:val="00470933"/>
    <w:rsid w:val="0047097D"/>
    <w:rsid w:val="00470AAD"/>
    <w:rsid w:val="00471295"/>
    <w:rsid w:val="0047203E"/>
    <w:rsid w:val="004722FB"/>
    <w:rsid w:val="00472FF2"/>
    <w:rsid w:val="00473100"/>
    <w:rsid w:val="004732E4"/>
    <w:rsid w:val="0047399F"/>
    <w:rsid w:val="0047487B"/>
    <w:rsid w:val="00474E5F"/>
    <w:rsid w:val="00474E66"/>
    <w:rsid w:val="004753DF"/>
    <w:rsid w:val="004765CD"/>
    <w:rsid w:val="004772E4"/>
    <w:rsid w:val="00477413"/>
    <w:rsid w:val="00477E7A"/>
    <w:rsid w:val="00480810"/>
    <w:rsid w:val="00481450"/>
    <w:rsid w:val="004818C6"/>
    <w:rsid w:val="00481D4B"/>
    <w:rsid w:val="00481F01"/>
    <w:rsid w:val="004821EC"/>
    <w:rsid w:val="0048238B"/>
    <w:rsid w:val="004824A2"/>
    <w:rsid w:val="00482AA6"/>
    <w:rsid w:val="00483267"/>
    <w:rsid w:val="0048411A"/>
    <w:rsid w:val="00485476"/>
    <w:rsid w:val="004859E0"/>
    <w:rsid w:val="00486588"/>
    <w:rsid w:val="0048662B"/>
    <w:rsid w:val="0048679B"/>
    <w:rsid w:val="0048681E"/>
    <w:rsid w:val="00486B9C"/>
    <w:rsid w:val="00487210"/>
    <w:rsid w:val="004879AB"/>
    <w:rsid w:val="00487D63"/>
    <w:rsid w:val="00490339"/>
    <w:rsid w:val="0049057E"/>
    <w:rsid w:val="004909DC"/>
    <w:rsid w:val="00490C45"/>
    <w:rsid w:val="004913B8"/>
    <w:rsid w:val="00492CAB"/>
    <w:rsid w:val="00492FEB"/>
    <w:rsid w:val="00493035"/>
    <w:rsid w:val="0049376D"/>
    <w:rsid w:val="0049449E"/>
    <w:rsid w:val="00494827"/>
    <w:rsid w:val="00494FA1"/>
    <w:rsid w:val="00495091"/>
    <w:rsid w:val="0049615A"/>
    <w:rsid w:val="0049660F"/>
    <w:rsid w:val="00496BAE"/>
    <w:rsid w:val="00496C41"/>
    <w:rsid w:val="004971A8"/>
    <w:rsid w:val="004971DB"/>
    <w:rsid w:val="00497306"/>
    <w:rsid w:val="00497AE6"/>
    <w:rsid w:val="00497E8F"/>
    <w:rsid w:val="004A0A9D"/>
    <w:rsid w:val="004A103C"/>
    <w:rsid w:val="004A17C3"/>
    <w:rsid w:val="004A2107"/>
    <w:rsid w:val="004A2657"/>
    <w:rsid w:val="004A2C71"/>
    <w:rsid w:val="004A2CB5"/>
    <w:rsid w:val="004A2D1F"/>
    <w:rsid w:val="004A3254"/>
    <w:rsid w:val="004A36FD"/>
    <w:rsid w:val="004A3B81"/>
    <w:rsid w:val="004A4026"/>
    <w:rsid w:val="004A45A9"/>
    <w:rsid w:val="004A47F4"/>
    <w:rsid w:val="004A5E47"/>
    <w:rsid w:val="004A60D1"/>
    <w:rsid w:val="004A6A79"/>
    <w:rsid w:val="004A6C8E"/>
    <w:rsid w:val="004A7778"/>
    <w:rsid w:val="004A7E40"/>
    <w:rsid w:val="004B00E1"/>
    <w:rsid w:val="004B0792"/>
    <w:rsid w:val="004B0FEA"/>
    <w:rsid w:val="004B1A12"/>
    <w:rsid w:val="004B1D11"/>
    <w:rsid w:val="004B2013"/>
    <w:rsid w:val="004B3028"/>
    <w:rsid w:val="004B3C19"/>
    <w:rsid w:val="004B485A"/>
    <w:rsid w:val="004B48BA"/>
    <w:rsid w:val="004B5050"/>
    <w:rsid w:val="004B54EA"/>
    <w:rsid w:val="004B5DF7"/>
    <w:rsid w:val="004B5E87"/>
    <w:rsid w:val="004B6629"/>
    <w:rsid w:val="004B66BD"/>
    <w:rsid w:val="004B77BF"/>
    <w:rsid w:val="004B7A01"/>
    <w:rsid w:val="004C0044"/>
    <w:rsid w:val="004C0092"/>
    <w:rsid w:val="004C0CA9"/>
    <w:rsid w:val="004C2442"/>
    <w:rsid w:val="004C350D"/>
    <w:rsid w:val="004C39C7"/>
    <w:rsid w:val="004C3AB2"/>
    <w:rsid w:val="004C3C50"/>
    <w:rsid w:val="004C42E6"/>
    <w:rsid w:val="004C4320"/>
    <w:rsid w:val="004C4596"/>
    <w:rsid w:val="004C49AB"/>
    <w:rsid w:val="004C4A32"/>
    <w:rsid w:val="004C4B53"/>
    <w:rsid w:val="004C4F47"/>
    <w:rsid w:val="004C4FFF"/>
    <w:rsid w:val="004C5E2C"/>
    <w:rsid w:val="004C69BD"/>
    <w:rsid w:val="004C6DFE"/>
    <w:rsid w:val="004C7005"/>
    <w:rsid w:val="004C7392"/>
    <w:rsid w:val="004C7ACF"/>
    <w:rsid w:val="004D038C"/>
    <w:rsid w:val="004D0675"/>
    <w:rsid w:val="004D0F8A"/>
    <w:rsid w:val="004D1597"/>
    <w:rsid w:val="004D1993"/>
    <w:rsid w:val="004D1CC8"/>
    <w:rsid w:val="004D1FA8"/>
    <w:rsid w:val="004D264A"/>
    <w:rsid w:val="004D3200"/>
    <w:rsid w:val="004D3882"/>
    <w:rsid w:val="004D38FE"/>
    <w:rsid w:val="004D446C"/>
    <w:rsid w:val="004D49BB"/>
    <w:rsid w:val="004D4BB6"/>
    <w:rsid w:val="004D575B"/>
    <w:rsid w:val="004D5B7F"/>
    <w:rsid w:val="004D617E"/>
    <w:rsid w:val="004D61E8"/>
    <w:rsid w:val="004D6369"/>
    <w:rsid w:val="004D63AE"/>
    <w:rsid w:val="004D6CEB"/>
    <w:rsid w:val="004D7663"/>
    <w:rsid w:val="004D7CB5"/>
    <w:rsid w:val="004D7CF3"/>
    <w:rsid w:val="004E0960"/>
    <w:rsid w:val="004E1575"/>
    <w:rsid w:val="004E16F0"/>
    <w:rsid w:val="004E188E"/>
    <w:rsid w:val="004E18A4"/>
    <w:rsid w:val="004E1AB0"/>
    <w:rsid w:val="004E1E18"/>
    <w:rsid w:val="004E2106"/>
    <w:rsid w:val="004E2845"/>
    <w:rsid w:val="004E2E11"/>
    <w:rsid w:val="004E2E33"/>
    <w:rsid w:val="004E3561"/>
    <w:rsid w:val="004E366B"/>
    <w:rsid w:val="004E3BBD"/>
    <w:rsid w:val="004E3CB1"/>
    <w:rsid w:val="004E3D1B"/>
    <w:rsid w:val="004E484D"/>
    <w:rsid w:val="004E546F"/>
    <w:rsid w:val="004E55EC"/>
    <w:rsid w:val="004E5671"/>
    <w:rsid w:val="004E5D66"/>
    <w:rsid w:val="004E6D87"/>
    <w:rsid w:val="004E7667"/>
    <w:rsid w:val="004E7814"/>
    <w:rsid w:val="004E79E6"/>
    <w:rsid w:val="004E7F32"/>
    <w:rsid w:val="004F0769"/>
    <w:rsid w:val="004F0FC5"/>
    <w:rsid w:val="004F1513"/>
    <w:rsid w:val="004F16B7"/>
    <w:rsid w:val="004F1941"/>
    <w:rsid w:val="004F1A86"/>
    <w:rsid w:val="004F200B"/>
    <w:rsid w:val="004F2350"/>
    <w:rsid w:val="004F2420"/>
    <w:rsid w:val="004F2568"/>
    <w:rsid w:val="004F25C5"/>
    <w:rsid w:val="004F303F"/>
    <w:rsid w:val="004F3070"/>
    <w:rsid w:val="004F32B4"/>
    <w:rsid w:val="004F3454"/>
    <w:rsid w:val="004F3CFE"/>
    <w:rsid w:val="004F4C6F"/>
    <w:rsid w:val="004F4EF1"/>
    <w:rsid w:val="004F655D"/>
    <w:rsid w:val="004F6ABF"/>
    <w:rsid w:val="004F7E66"/>
    <w:rsid w:val="00500219"/>
    <w:rsid w:val="005003E6"/>
    <w:rsid w:val="00500440"/>
    <w:rsid w:val="00500441"/>
    <w:rsid w:val="00500C70"/>
    <w:rsid w:val="005010AD"/>
    <w:rsid w:val="005020DD"/>
    <w:rsid w:val="00502332"/>
    <w:rsid w:val="005026BF"/>
    <w:rsid w:val="005029CD"/>
    <w:rsid w:val="00503683"/>
    <w:rsid w:val="00503C25"/>
    <w:rsid w:val="00504763"/>
    <w:rsid w:val="00504D00"/>
    <w:rsid w:val="00505478"/>
    <w:rsid w:val="00505580"/>
    <w:rsid w:val="00505A6B"/>
    <w:rsid w:val="00505CF4"/>
    <w:rsid w:val="00506094"/>
    <w:rsid w:val="00506205"/>
    <w:rsid w:val="005063D1"/>
    <w:rsid w:val="005070A6"/>
    <w:rsid w:val="005108D6"/>
    <w:rsid w:val="00510B77"/>
    <w:rsid w:val="00510D28"/>
    <w:rsid w:val="00511107"/>
    <w:rsid w:val="005112D3"/>
    <w:rsid w:val="00511757"/>
    <w:rsid w:val="005117B4"/>
    <w:rsid w:val="00511A5D"/>
    <w:rsid w:val="00511A8D"/>
    <w:rsid w:val="00511C69"/>
    <w:rsid w:val="00512244"/>
    <w:rsid w:val="005128B8"/>
    <w:rsid w:val="005135A7"/>
    <w:rsid w:val="00513819"/>
    <w:rsid w:val="00513C80"/>
    <w:rsid w:val="00513DC1"/>
    <w:rsid w:val="005145BA"/>
    <w:rsid w:val="00514C9E"/>
    <w:rsid w:val="00515105"/>
    <w:rsid w:val="00515588"/>
    <w:rsid w:val="00516827"/>
    <w:rsid w:val="00516896"/>
    <w:rsid w:val="00516EE8"/>
    <w:rsid w:val="00517006"/>
    <w:rsid w:val="0051711A"/>
    <w:rsid w:val="005171A0"/>
    <w:rsid w:val="00517AEE"/>
    <w:rsid w:val="00517E58"/>
    <w:rsid w:val="005200FD"/>
    <w:rsid w:val="00520426"/>
    <w:rsid w:val="005205A5"/>
    <w:rsid w:val="0052106D"/>
    <w:rsid w:val="005214E0"/>
    <w:rsid w:val="005218A5"/>
    <w:rsid w:val="00521D3E"/>
    <w:rsid w:val="00522606"/>
    <w:rsid w:val="00522A3A"/>
    <w:rsid w:val="0052312A"/>
    <w:rsid w:val="005232A7"/>
    <w:rsid w:val="00523749"/>
    <w:rsid w:val="00523B66"/>
    <w:rsid w:val="00524066"/>
    <w:rsid w:val="0052427F"/>
    <w:rsid w:val="0052488A"/>
    <w:rsid w:val="00524CC1"/>
    <w:rsid w:val="00525781"/>
    <w:rsid w:val="005258A4"/>
    <w:rsid w:val="0052592D"/>
    <w:rsid w:val="00525F22"/>
    <w:rsid w:val="00526559"/>
    <w:rsid w:val="00526888"/>
    <w:rsid w:val="005276C0"/>
    <w:rsid w:val="0053109E"/>
    <w:rsid w:val="00531129"/>
    <w:rsid w:val="00531149"/>
    <w:rsid w:val="005317CA"/>
    <w:rsid w:val="005318F5"/>
    <w:rsid w:val="00531C9E"/>
    <w:rsid w:val="00532004"/>
    <w:rsid w:val="00532499"/>
    <w:rsid w:val="00532DCE"/>
    <w:rsid w:val="00533DC4"/>
    <w:rsid w:val="0053424E"/>
    <w:rsid w:val="0053431B"/>
    <w:rsid w:val="005344E0"/>
    <w:rsid w:val="00534CBC"/>
    <w:rsid w:val="00534FC1"/>
    <w:rsid w:val="00535225"/>
    <w:rsid w:val="00535520"/>
    <w:rsid w:val="005355A7"/>
    <w:rsid w:val="005356AB"/>
    <w:rsid w:val="005359A3"/>
    <w:rsid w:val="005366F7"/>
    <w:rsid w:val="00536DE2"/>
    <w:rsid w:val="00536F4C"/>
    <w:rsid w:val="005372F5"/>
    <w:rsid w:val="00537357"/>
    <w:rsid w:val="00537586"/>
    <w:rsid w:val="005376D6"/>
    <w:rsid w:val="00537797"/>
    <w:rsid w:val="00537B2C"/>
    <w:rsid w:val="00540069"/>
    <w:rsid w:val="005403BC"/>
    <w:rsid w:val="00540A35"/>
    <w:rsid w:val="00540A43"/>
    <w:rsid w:val="00541135"/>
    <w:rsid w:val="005415A4"/>
    <w:rsid w:val="005418BD"/>
    <w:rsid w:val="00541AC6"/>
    <w:rsid w:val="00541EFB"/>
    <w:rsid w:val="00542F39"/>
    <w:rsid w:val="005438DF"/>
    <w:rsid w:val="005439E6"/>
    <w:rsid w:val="00543FF0"/>
    <w:rsid w:val="005451ED"/>
    <w:rsid w:val="00545342"/>
    <w:rsid w:val="00545C09"/>
    <w:rsid w:val="00545F21"/>
    <w:rsid w:val="0054757A"/>
    <w:rsid w:val="005475BA"/>
    <w:rsid w:val="005476CB"/>
    <w:rsid w:val="005477C3"/>
    <w:rsid w:val="00550DA5"/>
    <w:rsid w:val="00550F14"/>
    <w:rsid w:val="005511B5"/>
    <w:rsid w:val="005513EE"/>
    <w:rsid w:val="00551A5B"/>
    <w:rsid w:val="00551E57"/>
    <w:rsid w:val="00552344"/>
    <w:rsid w:val="00552386"/>
    <w:rsid w:val="005525BB"/>
    <w:rsid w:val="005529AE"/>
    <w:rsid w:val="005533C2"/>
    <w:rsid w:val="00553995"/>
    <w:rsid w:val="00553E5D"/>
    <w:rsid w:val="005544A7"/>
    <w:rsid w:val="00554CDE"/>
    <w:rsid w:val="00555916"/>
    <w:rsid w:val="00556BBA"/>
    <w:rsid w:val="00557496"/>
    <w:rsid w:val="005578FD"/>
    <w:rsid w:val="0056014F"/>
    <w:rsid w:val="00560AA9"/>
    <w:rsid w:val="00561127"/>
    <w:rsid w:val="00561250"/>
    <w:rsid w:val="0056158A"/>
    <w:rsid w:val="00561E15"/>
    <w:rsid w:val="00561FB6"/>
    <w:rsid w:val="00562166"/>
    <w:rsid w:val="005623A1"/>
    <w:rsid w:val="00562733"/>
    <w:rsid w:val="005627C8"/>
    <w:rsid w:val="005628C5"/>
    <w:rsid w:val="00562FEC"/>
    <w:rsid w:val="005632DD"/>
    <w:rsid w:val="0056388F"/>
    <w:rsid w:val="0056418B"/>
    <w:rsid w:val="00564813"/>
    <w:rsid w:val="0056507F"/>
    <w:rsid w:val="005656F4"/>
    <w:rsid w:val="00565B31"/>
    <w:rsid w:val="00566C3A"/>
    <w:rsid w:val="00566E73"/>
    <w:rsid w:val="00566EDB"/>
    <w:rsid w:val="00566F5C"/>
    <w:rsid w:val="00567062"/>
    <w:rsid w:val="00567D7D"/>
    <w:rsid w:val="00567E0E"/>
    <w:rsid w:val="005702A0"/>
    <w:rsid w:val="005705F0"/>
    <w:rsid w:val="005708A8"/>
    <w:rsid w:val="00570A3A"/>
    <w:rsid w:val="005713D3"/>
    <w:rsid w:val="00571918"/>
    <w:rsid w:val="00571BFE"/>
    <w:rsid w:val="0057238E"/>
    <w:rsid w:val="0057252D"/>
    <w:rsid w:val="0057296C"/>
    <w:rsid w:val="00573044"/>
    <w:rsid w:val="005736B8"/>
    <w:rsid w:val="00573DAE"/>
    <w:rsid w:val="00574215"/>
    <w:rsid w:val="00574254"/>
    <w:rsid w:val="00574797"/>
    <w:rsid w:val="00574C68"/>
    <w:rsid w:val="0057558A"/>
    <w:rsid w:val="00575D53"/>
    <w:rsid w:val="00576215"/>
    <w:rsid w:val="00576D69"/>
    <w:rsid w:val="00576E5F"/>
    <w:rsid w:val="00577B23"/>
    <w:rsid w:val="00577BCA"/>
    <w:rsid w:val="005800E0"/>
    <w:rsid w:val="005804DD"/>
    <w:rsid w:val="00580D80"/>
    <w:rsid w:val="00580E17"/>
    <w:rsid w:val="0058106E"/>
    <w:rsid w:val="005813CA"/>
    <w:rsid w:val="00581701"/>
    <w:rsid w:val="0058189D"/>
    <w:rsid w:val="0058195E"/>
    <w:rsid w:val="005819D6"/>
    <w:rsid w:val="00583271"/>
    <w:rsid w:val="0058330B"/>
    <w:rsid w:val="00583D01"/>
    <w:rsid w:val="00583F7A"/>
    <w:rsid w:val="0058413A"/>
    <w:rsid w:val="005843ED"/>
    <w:rsid w:val="00584F16"/>
    <w:rsid w:val="005856C1"/>
    <w:rsid w:val="00586271"/>
    <w:rsid w:val="005864E6"/>
    <w:rsid w:val="00586ABD"/>
    <w:rsid w:val="00587B64"/>
    <w:rsid w:val="00587C27"/>
    <w:rsid w:val="00587FD5"/>
    <w:rsid w:val="005908D4"/>
    <w:rsid w:val="005908F2"/>
    <w:rsid w:val="00590956"/>
    <w:rsid w:val="00590F58"/>
    <w:rsid w:val="0059181E"/>
    <w:rsid w:val="00591C8C"/>
    <w:rsid w:val="00591FAB"/>
    <w:rsid w:val="005929F9"/>
    <w:rsid w:val="00592CA6"/>
    <w:rsid w:val="00592EBE"/>
    <w:rsid w:val="00593953"/>
    <w:rsid w:val="00593AD2"/>
    <w:rsid w:val="0059440B"/>
    <w:rsid w:val="00594642"/>
    <w:rsid w:val="00594729"/>
    <w:rsid w:val="00594931"/>
    <w:rsid w:val="00594BA3"/>
    <w:rsid w:val="00594BB2"/>
    <w:rsid w:val="00594D58"/>
    <w:rsid w:val="00594F63"/>
    <w:rsid w:val="00595157"/>
    <w:rsid w:val="005954A1"/>
    <w:rsid w:val="005963A4"/>
    <w:rsid w:val="00596498"/>
    <w:rsid w:val="00597200"/>
    <w:rsid w:val="0059729B"/>
    <w:rsid w:val="005972B9"/>
    <w:rsid w:val="00597535"/>
    <w:rsid w:val="005A03AE"/>
    <w:rsid w:val="005A0BEA"/>
    <w:rsid w:val="005A0C90"/>
    <w:rsid w:val="005A0D3D"/>
    <w:rsid w:val="005A151A"/>
    <w:rsid w:val="005A1672"/>
    <w:rsid w:val="005A1E50"/>
    <w:rsid w:val="005A20C2"/>
    <w:rsid w:val="005A28B9"/>
    <w:rsid w:val="005A33C7"/>
    <w:rsid w:val="005A40EA"/>
    <w:rsid w:val="005A4626"/>
    <w:rsid w:val="005A4FC9"/>
    <w:rsid w:val="005A5AC5"/>
    <w:rsid w:val="005A60B5"/>
    <w:rsid w:val="005A623D"/>
    <w:rsid w:val="005A667D"/>
    <w:rsid w:val="005A7134"/>
    <w:rsid w:val="005A7261"/>
    <w:rsid w:val="005A75F2"/>
    <w:rsid w:val="005A7963"/>
    <w:rsid w:val="005B0CE8"/>
    <w:rsid w:val="005B0D5E"/>
    <w:rsid w:val="005B2229"/>
    <w:rsid w:val="005B2CFB"/>
    <w:rsid w:val="005B317D"/>
    <w:rsid w:val="005B3821"/>
    <w:rsid w:val="005B3BAF"/>
    <w:rsid w:val="005B42CB"/>
    <w:rsid w:val="005B4CE0"/>
    <w:rsid w:val="005B5808"/>
    <w:rsid w:val="005B5DC5"/>
    <w:rsid w:val="005B648D"/>
    <w:rsid w:val="005B69CF"/>
    <w:rsid w:val="005B6E32"/>
    <w:rsid w:val="005B7448"/>
    <w:rsid w:val="005B7EB8"/>
    <w:rsid w:val="005C0781"/>
    <w:rsid w:val="005C1055"/>
    <w:rsid w:val="005C12A2"/>
    <w:rsid w:val="005C164A"/>
    <w:rsid w:val="005C1F64"/>
    <w:rsid w:val="005C20D7"/>
    <w:rsid w:val="005C2247"/>
    <w:rsid w:val="005C2543"/>
    <w:rsid w:val="005C4684"/>
    <w:rsid w:val="005C46B1"/>
    <w:rsid w:val="005C5B7A"/>
    <w:rsid w:val="005C63C0"/>
    <w:rsid w:val="005C78DB"/>
    <w:rsid w:val="005D007D"/>
    <w:rsid w:val="005D090A"/>
    <w:rsid w:val="005D0A53"/>
    <w:rsid w:val="005D0C6E"/>
    <w:rsid w:val="005D2272"/>
    <w:rsid w:val="005D23E5"/>
    <w:rsid w:val="005D2A8E"/>
    <w:rsid w:val="005D2CE5"/>
    <w:rsid w:val="005D3000"/>
    <w:rsid w:val="005D31FF"/>
    <w:rsid w:val="005D36D9"/>
    <w:rsid w:val="005D4389"/>
    <w:rsid w:val="005D4932"/>
    <w:rsid w:val="005D4954"/>
    <w:rsid w:val="005D4B96"/>
    <w:rsid w:val="005D5649"/>
    <w:rsid w:val="005D5FC4"/>
    <w:rsid w:val="005D631B"/>
    <w:rsid w:val="005D69B9"/>
    <w:rsid w:val="005D7881"/>
    <w:rsid w:val="005E02AA"/>
    <w:rsid w:val="005E0C44"/>
    <w:rsid w:val="005E0E52"/>
    <w:rsid w:val="005E15DE"/>
    <w:rsid w:val="005E1F38"/>
    <w:rsid w:val="005E20CE"/>
    <w:rsid w:val="005E25C5"/>
    <w:rsid w:val="005E2BA7"/>
    <w:rsid w:val="005E4AF8"/>
    <w:rsid w:val="005E4F57"/>
    <w:rsid w:val="005E5452"/>
    <w:rsid w:val="005E5549"/>
    <w:rsid w:val="005E55D3"/>
    <w:rsid w:val="005E5D3D"/>
    <w:rsid w:val="005E745C"/>
    <w:rsid w:val="005E767A"/>
    <w:rsid w:val="005E79E1"/>
    <w:rsid w:val="005E7B10"/>
    <w:rsid w:val="005E7C24"/>
    <w:rsid w:val="005E7CB5"/>
    <w:rsid w:val="005F00AB"/>
    <w:rsid w:val="005F0389"/>
    <w:rsid w:val="005F06A9"/>
    <w:rsid w:val="005F0F8D"/>
    <w:rsid w:val="005F12F1"/>
    <w:rsid w:val="005F1888"/>
    <w:rsid w:val="005F19AE"/>
    <w:rsid w:val="005F1A8B"/>
    <w:rsid w:val="005F1B3D"/>
    <w:rsid w:val="005F1D39"/>
    <w:rsid w:val="005F1E3E"/>
    <w:rsid w:val="005F2033"/>
    <w:rsid w:val="005F2834"/>
    <w:rsid w:val="005F2A81"/>
    <w:rsid w:val="005F38D4"/>
    <w:rsid w:val="005F3918"/>
    <w:rsid w:val="005F39C0"/>
    <w:rsid w:val="005F39E0"/>
    <w:rsid w:val="005F3AB3"/>
    <w:rsid w:val="005F3C82"/>
    <w:rsid w:val="005F3FCF"/>
    <w:rsid w:val="005F4DC9"/>
    <w:rsid w:val="005F5776"/>
    <w:rsid w:val="005F5784"/>
    <w:rsid w:val="005F578C"/>
    <w:rsid w:val="005F5F35"/>
    <w:rsid w:val="005F6516"/>
    <w:rsid w:val="005F6896"/>
    <w:rsid w:val="005F6DB7"/>
    <w:rsid w:val="005F704F"/>
    <w:rsid w:val="005F7DAE"/>
    <w:rsid w:val="00600150"/>
    <w:rsid w:val="006001FF"/>
    <w:rsid w:val="006004B3"/>
    <w:rsid w:val="00600946"/>
    <w:rsid w:val="00600B25"/>
    <w:rsid w:val="0060102B"/>
    <w:rsid w:val="00602259"/>
    <w:rsid w:val="00602B0B"/>
    <w:rsid w:val="00602B34"/>
    <w:rsid w:val="00602C16"/>
    <w:rsid w:val="00602D37"/>
    <w:rsid w:val="00603184"/>
    <w:rsid w:val="00603566"/>
    <w:rsid w:val="00603DC1"/>
    <w:rsid w:val="00603F4C"/>
    <w:rsid w:val="00604326"/>
    <w:rsid w:val="00604375"/>
    <w:rsid w:val="00604904"/>
    <w:rsid w:val="00604919"/>
    <w:rsid w:val="00604B3C"/>
    <w:rsid w:val="00605002"/>
    <w:rsid w:val="00605041"/>
    <w:rsid w:val="00605667"/>
    <w:rsid w:val="00605917"/>
    <w:rsid w:val="00605FD1"/>
    <w:rsid w:val="0060622F"/>
    <w:rsid w:val="0060761C"/>
    <w:rsid w:val="00607BA8"/>
    <w:rsid w:val="00607DE7"/>
    <w:rsid w:val="00611576"/>
    <w:rsid w:val="00611AC8"/>
    <w:rsid w:val="00611F16"/>
    <w:rsid w:val="0061292A"/>
    <w:rsid w:val="00612975"/>
    <w:rsid w:val="006129CB"/>
    <w:rsid w:val="006129D0"/>
    <w:rsid w:val="00612AB8"/>
    <w:rsid w:val="00612CFD"/>
    <w:rsid w:val="00613266"/>
    <w:rsid w:val="0061390E"/>
    <w:rsid w:val="00613ED5"/>
    <w:rsid w:val="00614226"/>
    <w:rsid w:val="00614257"/>
    <w:rsid w:val="00614C0A"/>
    <w:rsid w:val="00614E0E"/>
    <w:rsid w:val="00615A93"/>
    <w:rsid w:val="00615B9C"/>
    <w:rsid w:val="00615F14"/>
    <w:rsid w:val="006163B8"/>
    <w:rsid w:val="0061689A"/>
    <w:rsid w:val="00616E09"/>
    <w:rsid w:val="00616F6C"/>
    <w:rsid w:val="00617013"/>
    <w:rsid w:val="006215F0"/>
    <w:rsid w:val="0062166D"/>
    <w:rsid w:val="00621829"/>
    <w:rsid w:val="00621EB3"/>
    <w:rsid w:val="006221BF"/>
    <w:rsid w:val="00622EED"/>
    <w:rsid w:val="00623334"/>
    <w:rsid w:val="00623A68"/>
    <w:rsid w:val="00623ED3"/>
    <w:rsid w:val="0062473C"/>
    <w:rsid w:val="00625056"/>
    <w:rsid w:val="00626260"/>
    <w:rsid w:val="006267FF"/>
    <w:rsid w:val="00626978"/>
    <w:rsid w:val="00626E6A"/>
    <w:rsid w:val="006273E7"/>
    <w:rsid w:val="00627A2E"/>
    <w:rsid w:val="00627DE5"/>
    <w:rsid w:val="006306DF"/>
    <w:rsid w:val="0063093C"/>
    <w:rsid w:val="00630A57"/>
    <w:rsid w:val="00630D39"/>
    <w:rsid w:val="006314AB"/>
    <w:rsid w:val="006315F1"/>
    <w:rsid w:val="00632087"/>
    <w:rsid w:val="00633B93"/>
    <w:rsid w:val="00633C6F"/>
    <w:rsid w:val="006341ED"/>
    <w:rsid w:val="0063432D"/>
    <w:rsid w:val="00634B89"/>
    <w:rsid w:val="00634BAF"/>
    <w:rsid w:val="00635115"/>
    <w:rsid w:val="00635185"/>
    <w:rsid w:val="0063519D"/>
    <w:rsid w:val="00635538"/>
    <w:rsid w:val="00635E39"/>
    <w:rsid w:val="00636083"/>
    <w:rsid w:val="0063663D"/>
    <w:rsid w:val="00636B6D"/>
    <w:rsid w:val="00636BDB"/>
    <w:rsid w:val="00636C31"/>
    <w:rsid w:val="00640906"/>
    <w:rsid w:val="00640CBE"/>
    <w:rsid w:val="00640F9E"/>
    <w:rsid w:val="0064110A"/>
    <w:rsid w:val="0064110B"/>
    <w:rsid w:val="0064150E"/>
    <w:rsid w:val="00641AF6"/>
    <w:rsid w:val="00641D0B"/>
    <w:rsid w:val="00641D9C"/>
    <w:rsid w:val="00642386"/>
    <w:rsid w:val="0064291C"/>
    <w:rsid w:val="00642E3B"/>
    <w:rsid w:val="00642F45"/>
    <w:rsid w:val="00643133"/>
    <w:rsid w:val="0064324F"/>
    <w:rsid w:val="00643F64"/>
    <w:rsid w:val="006450A5"/>
    <w:rsid w:val="0064516E"/>
    <w:rsid w:val="006451BE"/>
    <w:rsid w:val="006453F4"/>
    <w:rsid w:val="00645800"/>
    <w:rsid w:val="00645FD4"/>
    <w:rsid w:val="0064600E"/>
    <w:rsid w:val="006461DC"/>
    <w:rsid w:val="006465A7"/>
    <w:rsid w:val="00647CC9"/>
    <w:rsid w:val="006502B7"/>
    <w:rsid w:val="00650E1B"/>
    <w:rsid w:val="0065147B"/>
    <w:rsid w:val="00651E6D"/>
    <w:rsid w:val="00651E90"/>
    <w:rsid w:val="006524AD"/>
    <w:rsid w:val="00652702"/>
    <w:rsid w:val="00652DE5"/>
    <w:rsid w:val="00652F4C"/>
    <w:rsid w:val="006531E9"/>
    <w:rsid w:val="00653959"/>
    <w:rsid w:val="006539C4"/>
    <w:rsid w:val="00653C5E"/>
    <w:rsid w:val="00654F55"/>
    <w:rsid w:val="006558A9"/>
    <w:rsid w:val="006561C1"/>
    <w:rsid w:val="00656443"/>
    <w:rsid w:val="006569B0"/>
    <w:rsid w:val="006574E0"/>
    <w:rsid w:val="00660620"/>
    <w:rsid w:val="00660674"/>
    <w:rsid w:val="00660782"/>
    <w:rsid w:val="00660B83"/>
    <w:rsid w:val="00660D29"/>
    <w:rsid w:val="00661162"/>
    <w:rsid w:val="0066166D"/>
    <w:rsid w:val="006617CF"/>
    <w:rsid w:val="006625D4"/>
    <w:rsid w:val="00662B1E"/>
    <w:rsid w:val="0066406D"/>
    <w:rsid w:val="00664082"/>
    <w:rsid w:val="0066434F"/>
    <w:rsid w:val="00664979"/>
    <w:rsid w:val="00665235"/>
    <w:rsid w:val="006655E5"/>
    <w:rsid w:val="006658A0"/>
    <w:rsid w:val="006658B8"/>
    <w:rsid w:val="006658FE"/>
    <w:rsid w:val="0066590E"/>
    <w:rsid w:val="00665940"/>
    <w:rsid w:val="006659BF"/>
    <w:rsid w:val="00665B96"/>
    <w:rsid w:val="00665E07"/>
    <w:rsid w:val="006669E1"/>
    <w:rsid w:val="00666A32"/>
    <w:rsid w:val="00667333"/>
    <w:rsid w:val="0066746B"/>
    <w:rsid w:val="006674ED"/>
    <w:rsid w:val="00667A6F"/>
    <w:rsid w:val="00667D78"/>
    <w:rsid w:val="0067043D"/>
    <w:rsid w:val="00670566"/>
    <w:rsid w:val="006707AB"/>
    <w:rsid w:val="00670870"/>
    <w:rsid w:val="00670D7F"/>
    <w:rsid w:val="00670FE8"/>
    <w:rsid w:val="006711B2"/>
    <w:rsid w:val="00671B21"/>
    <w:rsid w:val="00671BD5"/>
    <w:rsid w:val="00671CD1"/>
    <w:rsid w:val="006721F1"/>
    <w:rsid w:val="00673E76"/>
    <w:rsid w:val="006742CC"/>
    <w:rsid w:val="006742EC"/>
    <w:rsid w:val="006748A7"/>
    <w:rsid w:val="00674943"/>
    <w:rsid w:val="00674A8F"/>
    <w:rsid w:val="00674E7F"/>
    <w:rsid w:val="0067580A"/>
    <w:rsid w:val="006760F2"/>
    <w:rsid w:val="0067614F"/>
    <w:rsid w:val="006766D0"/>
    <w:rsid w:val="006768AA"/>
    <w:rsid w:val="00676B64"/>
    <w:rsid w:val="00676C75"/>
    <w:rsid w:val="00676F0F"/>
    <w:rsid w:val="0067742C"/>
    <w:rsid w:val="00677D0B"/>
    <w:rsid w:val="00681046"/>
    <w:rsid w:val="00681517"/>
    <w:rsid w:val="0068193B"/>
    <w:rsid w:val="0068281D"/>
    <w:rsid w:val="006839AF"/>
    <w:rsid w:val="00683AC1"/>
    <w:rsid w:val="00684028"/>
    <w:rsid w:val="0068440D"/>
    <w:rsid w:val="0068446F"/>
    <w:rsid w:val="00685883"/>
    <w:rsid w:val="0068634A"/>
    <w:rsid w:val="00686C70"/>
    <w:rsid w:val="00687752"/>
    <w:rsid w:val="00687B69"/>
    <w:rsid w:val="00687CF5"/>
    <w:rsid w:val="006904A1"/>
    <w:rsid w:val="00690C0B"/>
    <w:rsid w:val="00691A61"/>
    <w:rsid w:val="00691B23"/>
    <w:rsid w:val="00691E28"/>
    <w:rsid w:val="006923D6"/>
    <w:rsid w:val="00692C91"/>
    <w:rsid w:val="006930AF"/>
    <w:rsid w:val="0069334B"/>
    <w:rsid w:val="00693403"/>
    <w:rsid w:val="00693528"/>
    <w:rsid w:val="00693AEE"/>
    <w:rsid w:val="00693CEE"/>
    <w:rsid w:val="00693DAD"/>
    <w:rsid w:val="00693DDC"/>
    <w:rsid w:val="0069467E"/>
    <w:rsid w:val="006952EE"/>
    <w:rsid w:val="00695319"/>
    <w:rsid w:val="006954D4"/>
    <w:rsid w:val="00695990"/>
    <w:rsid w:val="00695C62"/>
    <w:rsid w:val="006966F2"/>
    <w:rsid w:val="00696C21"/>
    <w:rsid w:val="00696D34"/>
    <w:rsid w:val="00697493"/>
    <w:rsid w:val="006974C6"/>
    <w:rsid w:val="006976B0"/>
    <w:rsid w:val="00697809"/>
    <w:rsid w:val="00697877"/>
    <w:rsid w:val="00697929"/>
    <w:rsid w:val="006979C5"/>
    <w:rsid w:val="006A048E"/>
    <w:rsid w:val="006A0988"/>
    <w:rsid w:val="006A1072"/>
    <w:rsid w:val="006A11D1"/>
    <w:rsid w:val="006A1813"/>
    <w:rsid w:val="006A1897"/>
    <w:rsid w:val="006A1B7C"/>
    <w:rsid w:val="006A1F19"/>
    <w:rsid w:val="006A2052"/>
    <w:rsid w:val="006A2365"/>
    <w:rsid w:val="006A27CA"/>
    <w:rsid w:val="006A2806"/>
    <w:rsid w:val="006A30B7"/>
    <w:rsid w:val="006A3BF4"/>
    <w:rsid w:val="006A3C67"/>
    <w:rsid w:val="006A3E26"/>
    <w:rsid w:val="006A4E75"/>
    <w:rsid w:val="006A57C3"/>
    <w:rsid w:val="006A5CF9"/>
    <w:rsid w:val="006A5FED"/>
    <w:rsid w:val="006A71D9"/>
    <w:rsid w:val="006B0794"/>
    <w:rsid w:val="006B0A68"/>
    <w:rsid w:val="006B0A81"/>
    <w:rsid w:val="006B12A0"/>
    <w:rsid w:val="006B1565"/>
    <w:rsid w:val="006B159A"/>
    <w:rsid w:val="006B224D"/>
    <w:rsid w:val="006B24A5"/>
    <w:rsid w:val="006B29B7"/>
    <w:rsid w:val="006B2A2A"/>
    <w:rsid w:val="006B2C0D"/>
    <w:rsid w:val="006B3987"/>
    <w:rsid w:val="006B4DF9"/>
    <w:rsid w:val="006B526D"/>
    <w:rsid w:val="006B5B74"/>
    <w:rsid w:val="006B68F3"/>
    <w:rsid w:val="006B6E0B"/>
    <w:rsid w:val="006B71F3"/>
    <w:rsid w:val="006B7E1C"/>
    <w:rsid w:val="006C0519"/>
    <w:rsid w:val="006C099F"/>
    <w:rsid w:val="006C09D9"/>
    <w:rsid w:val="006C13CC"/>
    <w:rsid w:val="006C1B97"/>
    <w:rsid w:val="006C1BF0"/>
    <w:rsid w:val="006C1DA3"/>
    <w:rsid w:val="006C2927"/>
    <w:rsid w:val="006C2CAD"/>
    <w:rsid w:val="006C2F26"/>
    <w:rsid w:val="006C35D6"/>
    <w:rsid w:val="006C43C2"/>
    <w:rsid w:val="006C4616"/>
    <w:rsid w:val="006C4E00"/>
    <w:rsid w:val="006C4F99"/>
    <w:rsid w:val="006C5B1F"/>
    <w:rsid w:val="006C5DC6"/>
    <w:rsid w:val="006C711F"/>
    <w:rsid w:val="006C7260"/>
    <w:rsid w:val="006C7BA7"/>
    <w:rsid w:val="006D000B"/>
    <w:rsid w:val="006D00F5"/>
    <w:rsid w:val="006D0A09"/>
    <w:rsid w:val="006D10EB"/>
    <w:rsid w:val="006D1486"/>
    <w:rsid w:val="006D14A5"/>
    <w:rsid w:val="006D180E"/>
    <w:rsid w:val="006D1BCE"/>
    <w:rsid w:val="006D2B97"/>
    <w:rsid w:val="006D2D2E"/>
    <w:rsid w:val="006D3642"/>
    <w:rsid w:val="006D38A4"/>
    <w:rsid w:val="006D3DE5"/>
    <w:rsid w:val="006D3F3A"/>
    <w:rsid w:val="006D4622"/>
    <w:rsid w:val="006D4941"/>
    <w:rsid w:val="006D4BC9"/>
    <w:rsid w:val="006D50FB"/>
    <w:rsid w:val="006D53B5"/>
    <w:rsid w:val="006D60A1"/>
    <w:rsid w:val="006D7430"/>
    <w:rsid w:val="006D74B5"/>
    <w:rsid w:val="006D7583"/>
    <w:rsid w:val="006D7643"/>
    <w:rsid w:val="006D77A6"/>
    <w:rsid w:val="006D7A21"/>
    <w:rsid w:val="006E0373"/>
    <w:rsid w:val="006E04D2"/>
    <w:rsid w:val="006E0BE8"/>
    <w:rsid w:val="006E0C18"/>
    <w:rsid w:val="006E0C71"/>
    <w:rsid w:val="006E1060"/>
    <w:rsid w:val="006E14BD"/>
    <w:rsid w:val="006E1A1A"/>
    <w:rsid w:val="006E1CE0"/>
    <w:rsid w:val="006E1F3B"/>
    <w:rsid w:val="006E2135"/>
    <w:rsid w:val="006E2594"/>
    <w:rsid w:val="006E29E5"/>
    <w:rsid w:val="006E2D6D"/>
    <w:rsid w:val="006E2E4A"/>
    <w:rsid w:val="006E39C5"/>
    <w:rsid w:val="006E3A67"/>
    <w:rsid w:val="006E3B5F"/>
    <w:rsid w:val="006E3B8C"/>
    <w:rsid w:val="006E4D71"/>
    <w:rsid w:val="006E504B"/>
    <w:rsid w:val="006E59D0"/>
    <w:rsid w:val="006E5E25"/>
    <w:rsid w:val="006E663A"/>
    <w:rsid w:val="006E6C7C"/>
    <w:rsid w:val="006E780E"/>
    <w:rsid w:val="006E7888"/>
    <w:rsid w:val="006E7DEB"/>
    <w:rsid w:val="006F065F"/>
    <w:rsid w:val="006F08EC"/>
    <w:rsid w:val="006F10A4"/>
    <w:rsid w:val="006F10C7"/>
    <w:rsid w:val="006F13C0"/>
    <w:rsid w:val="006F1ADC"/>
    <w:rsid w:val="006F2DFA"/>
    <w:rsid w:val="006F319E"/>
    <w:rsid w:val="006F3701"/>
    <w:rsid w:val="006F39A7"/>
    <w:rsid w:val="006F3B5C"/>
    <w:rsid w:val="006F3D8F"/>
    <w:rsid w:val="006F413C"/>
    <w:rsid w:val="006F4B2B"/>
    <w:rsid w:val="006F60EF"/>
    <w:rsid w:val="006F6709"/>
    <w:rsid w:val="006F6A34"/>
    <w:rsid w:val="006F6B70"/>
    <w:rsid w:val="006F6D03"/>
    <w:rsid w:val="006F71C4"/>
    <w:rsid w:val="006F7C0A"/>
    <w:rsid w:val="006F7E7A"/>
    <w:rsid w:val="0070069A"/>
    <w:rsid w:val="0070173B"/>
    <w:rsid w:val="007027A3"/>
    <w:rsid w:val="00702C76"/>
    <w:rsid w:val="00702FAD"/>
    <w:rsid w:val="007030CE"/>
    <w:rsid w:val="00703267"/>
    <w:rsid w:val="00704E2D"/>
    <w:rsid w:val="0070541F"/>
    <w:rsid w:val="007059F0"/>
    <w:rsid w:val="00705C35"/>
    <w:rsid w:val="00705C9D"/>
    <w:rsid w:val="00705EA9"/>
    <w:rsid w:val="00706009"/>
    <w:rsid w:val="00706375"/>
    <w:rsid w:val="00706A0D"/>
    <w:rsid w:val="00706B48"/>
    <w:rsid w:val="00707511"/>
    <w:rsid w:val="0070799E"/>
    <w:rsid w:val="00707F04"/>
    <w:rsid w:val="00707F76"/>
    <w:rsid w:val="00710282"/>
    <w:rsid w:val="007103FB"/>
    <w:rsid w:val="00710A90"/>
    <w:rsid w:val="00710F53"/>
    <w:rsid w:val="00712208"/>
    <w:rsid w:val="007127EF"/>
    <w:rsid w:val="00712F2E"/>
    <w:rsid w:val="007130D0"/>
    <w:rsid w:val="00713623"/>
    <w:rsid w:val="00714906"/>
    <w:rsid w:val="00714F5A"/>
    <w:rsid w:val="0071543C"/>
    <w:rsid w:val="007154A2"/>
    <w:rsid w:val="00715A22"/>
    <w:rsid w:val="00715A8A"/>
    <w:rsid w:val="00715DA3"/>
    <w:rsid w:val="00716205"/>
    <w:rsid w:val="00716A2F"/>
    <w:rsid w:val="00716A5B"/>
    <w:rsid w:val="00716BDF"/>
    <w:rsid w:val="00716C45"/>
    <w:rsid w:val="007170FF"/>
    <w:rsid w:val="007175F5"/>
    <w:rsid w:val="0071774B"/>
    <w:rsid w:val="00717A11"/>
    <w:rsid w:val="00717C20"/>
    <w:rsid w:val="00717F33"/>
    <w:rsid w:val="00720048"/>
    <w:rsid w:val="007204D8"/>
    <w:rsid w:val="00721864"/>
    <w:rsid w:val="00721C53"/>
    <w:rsid w:val="00722352"/>
    <w:rsid w:val="0072253F"/>
    <w:rsid w:val="00722774"/>
    <w:rsid w:val="007235C0"/>
    <w:rsid w:val="00723A14"/>
    <w:rsid w:val="00723CDE"/>
    <w:rsid w:val="007252FC"/>
    <w:rsid w:val="00725799"/>
    <w:rsid w:val="00725EC0"/>
    <w:rsid w:val="0072686A"/>
    <w:rsid w:val="00726DD9"/>
    <w:rsid w:val="00727256"/>
    <w:rsid w:val="00727458"/>
    <w:rsid w:val="0073076A"/>
    <w:rsid w:val="00730C60"/>
    <w:rsid w:val="0073109B"/>
    <w:rsid w:val="007317DB"/>
    <w:rsid w:val="00731821"/>
    <w:rsid w:val="007322E2"/>
    <w:rsid w:val="0073243E"/>
    <w:rsid w:val="00732664"/>
    <w:rsid w:val="00732C1A"/>
    <w:rsid w:val="00732C35"/>
    <w:rsid w:val="00733776"/>
    <w:rsid w:val="00733F37"/>
    <w:rsid w:val="00734680"/>
    <w:rsid w:val="00734BA3"/>
    <w:rsid w:val="0073522A"/>
    <w:rsid w:val="00735AE7"/>
    <w:rsid w:val="00735CD6"/>
    <w:rsid w:val="0073612C"/>
    <w:rsid w:val="007364AB"/>
    <w:rsid w:val="00736940"/>
    <w:rsid w:val="00736AAD"/>
    <w:rsid w:val="00737197"/>
    <w:rsid w:val="007376F5"/>
    <w:rsid w:val="007377DB"/>
    <w:rsid w:val="00740BB9"/>
    <w:rsid w:val="007411CD"/>
    <w:rsid w:val="00741461"/>
    <w:rsid w:val="00741CB8"/>
    <w:rsid w:val="00742DB3"/>
    <w:rsid w:val="00743821"/>
    <w:rsid w:val="0074388E"/>
    <w:rsid w:val="00743A6C"/>
    <w:rsid w:val="00744013"/>
    <w:rsid w:val="00744228"/>
    <w:rsid w:val="007444EA"/>
    <w:rsid w:val="0074495B"/>
    <w:rsid w:val="00744C4F"/>
    <w:rsid w:val="00745811"/>
    <w:rsid w:val="007462F4"/>
    <w:rsid w:val="00746BCF"/>
    <w:rsid w:val="0074712E"/>
    <w:rsid w:val="007474D7"/>
    <w:rsid w:val="007474FD"/>
    <w:rsid w:val="007474FE"/>
    <w:rsid w:val="00747577"/>
    <w:rsid w:val="00747678"/>
    <w:rsid w:val="00747A05"/>
    <w:rsid w:val="00747CD8"/>
    <w:rsid w:val="00750225"/>
    <w:rsid w:val="007504CE"/>
    <w:rsid w:val="00750612"/>
    <w:rsid w:val="0075084F"/>
    <w:rsid w:val="00750A4F"/>
    <w:rsid w:val="00750F32"/>
    <w:rsid w:val="00751025"/>
    <w:rsid w:val="007516C5"/>
    <w:rsid w:val="007516CD"/>
    <w:rsid w:val="00751AFE"/>
    <w:rsid w:val="00751B7B"/>
    <w:rsid w:val="00751FF2"/>
    <w:rsid w:val="007522BA"/>
    <w:rsid w:val="00752B02"/>
    <w:rsid w:val="007530E9"/>
    <w:rsid w:val="00753A4C"/>
    <w:rsid w:val="007544D9"/>
    <w:rsid w:val="0075453F"/>
    <w:rsid w:val="00754E89"/>
    <w:rsid w:val="0075511F"/>
    <w:rsid w:val="00755519"/>
    <w:rsid w:val="007556EB"/>
    <w:rsid w:val="00756850"/>
    <w:rsid w:val="00756E8A"/>
    <w:rsid w:val="00756FEA"/>
    <w:rsid w:val="00757191"/>
    <w:rsid w:val="00757E11"/>
    <w:rsid w:val="00757F82"/>
    <w:rsid w:val="007600BB"/>
    <w:rsid w:val="007609AE"/>
    <w:rsid w:val="007609E5"/>
    <w:rsid w:val="00761659"/>
    <w:rsid w:val="00761A8E"/>
    <w:rsid w:val="00762685"/>
    <w:rsid w:val="00762C13"/>
    <w:rsid w:val="00762C44"/>
    <w:rsid w:val="00762FDF"/>
    <w:rsid w:val="00763034"/>
    <w:rsid w:val="007634B1"/>
    <w:rsid w:val="00763D8B"/>
    <w:rsid w:val="00763E28"/>
    <w:rsid w:val="00764835"/>
    <w:rsid w:val="00764EBA"/>
    <w:rsid w:val="00765331"/>
    <w:rsid w:val="00765889"/>
    <w:rsid w:val="00765CC8"/>
    <w:rsid w:val="0076637D"/>
    <w:rsid w:val="00766730"/>
    <w:rsid w:val="00766B15"/>
    <w:rsid w:val="00766B85"/>
    <w:rsid w:val="00766CDC"/>
    <w:rsid w:val="007671DE"/>
    <w:rsid w:val="007672C2"/>
    <w:rsid w:val="00767B1C"/>
    <w:rsid w:val="00767EA0"/>
    <w:rsid w:val="00770041"/>
    <w:rsid w:val="007703C4"/>
    <w:rsid w:val="00770B48"/>
    <w:rsid w:val="00772653"/>
    <w:rsid w:val="0077293A"/>
    <w:rsid w:val="00773045"/>
    <w:rsid w:val="007731E6"/>
    <w:rsid w:val="0077361D"/>
    <w:rsid w:val="00773907"/>
    <w:rsid w:val="00773AF8"/>
    <w:rsid w:val="00773D88"/>
    <w:rsid w:val="0077412E"/>
    <w:rsid w:val="0077471C"/>
    <w:rsid w:val="00774E14"/>
    <w:rsid w:val="00774E35"/>
    <w:rsid w:val="0077561E"/>
    <w:rsid w:val="00775B3B"/>
    <w:rsid w:val="00775C28"/>
    <w:rsid w:val="007760CF"/>
    <w:rsid w:val="0077626E"/>
    <w:rsid w:val="007765B4"/>
    <w:rsid w:val="007765FE"/>
    <w:rsid w:val="00776897"/>
    <w:rsid w:val="00776B83"/>
    <w:rsid w:val="007773D5"/>
    <w:rsid w:val="00777504"/>
    <w:rsid w:val="007776A7"/>
    <w:rsid w:val="00777A9A"/>
    <w:rsid w:val="00777BC6"/>
    <w:rsid w:val="00777DA7"/>
    <w:rsid w:val="00781694"/>
    <w:rsid w:val="007818A4"/>
    <w:rsid w:val="00781C0D"/>
    <w:rsid w:val="00781F5A"/>
    <w:rsid w:val="007821BA"/>
    <w:rsid w:val="00782210"/>
    <w:rsid w:val="007834AE"/>
    <w:rsid w:val="007838F0"/>
    <w:rsid w:val="00783994"/>
    <w:rsid w:val="00783FDF"/>
    <w:rsid w:val="00784583"/>
    <w:rsid w:val="0078492B"/>
    <w:rsid w:val="00784D70"/>
    <w:rsid w:val="00785217"/>
    <w:rsid w:val="00785E60"/>
    <w:rsid w:val="00785E68"/>
    <w:rsid w:val="00785ED4"/>
    <w:rsid w:val="00786CDA"/>
    <w:rsid w:val="00786E0F"/>
    <w:rsid w:val="00787D5C"/>
    <w:rsid w:val="00790595"/>
    <w:rsid w:val="00790A9D"/>
    <w:rsid w:val="007910FD"/>
    <w:rsid w:val="00791477"/>
    <w:rsid w:val="00791C66"/>
    <w:rsid w:val="0079224D"/>
    <w:rsid w:val="007939AA"/>
    <w:rsid w:val="00793BE4"/>
    <w:rsid w:val="0079440D"/>
    <w:rsid w:val="00795732"/>
    <w:rsid w:val="00796355"/>
    <w:rsid w:val="007967F9"/>
    <w:rsid w:val="00796A8A"/>
    <w:rsid w:val="007970DF"/>
    <w:rsid w:val="007A0691"/>
    <w:rsid w:val="007A106F"/>
    <w:rsid w:val="007A16AA"/>
    <w:rsid w:val="007A16D5"/>
    <w:rsid w:val="007A1776"/>
    <w:rsid w:val="007A1F87"/>
    <w:rsid w:val="007A21F2"/>
    <w:rsid w:val="007A264E"/>
    <w:rsid w:val="007A32CF"/>
    <w:rsid w:val="007A3367"/>
    <w:rsid w:val="007A37B3"/>
    <w:rsid w:val="007A3D88"/>
    <w:rsid w:val="007A4157"/>
    <w:rsid w:val="007A41A8"/>
    <w:rsid w:val="007A4D0C"/>
    <w:rsid w:val="007A4E8C"/>
    <w:rsid w:val="007A4F0E"/>
    <w:rsid w:val="007A52E1"/>
    <w:rsid w:val="007A56B7"/>
    <w:rsid w:val="007A5FE0"/>
    <w:rsid w:val="007A617A"/>
    <w:rsid w:val="007A66B7"/>
    <w:rsid w:val="007A6B96"/>
    <w:rsid w:val="007A7171"/>
    <w:rsid w:val="007A7214"/>
    <w:rsid w:val="007A734A"/>
    <w:rsid w:val="007A7827"/>
    <w:rsid w:val="007A796D"/>
    <w:rsid w:val="007A7A49"/>
    <w:rsid w:val="007A7C11"/>
    <w:rsid w:val="007B0247"/>
    <w:rsid w:val="007B02F6"/>
    <w:rsid w:val="007B05B8"/>
    <w:rsid w:val="007B07C4"/>
    <w:rsid w:val="007B21AB"/>
    <w:rsid w:val="007B2235"/>
    <w:rsid w:val="007B28AF"/>
    <w:rsid w:val="007B2E6A"/>
    <w:rsid w:val="007B3863"/>
    <w:rsid w:val="007B3DFC"/>
    <w:rsid w:val="007B40ED"/>
    <w:rsid w:val="007B4713"/>
    <w:rsid w:val="007B5775"/>
    <w:rsid w:val="007B579A"/>
    <w:rsid w:val="007B5E08"/>
    <w:rsid w:val="007B5E61"/>
    <w:rsid w:val="007B658F"/>
    <w:rsid w:val="007B6861"/>
    <w:rsid w:val="007B7388"/>
    <w:rsid w:val="007C0142"/>
    <w:rsid w:val="007C06D5"/>
    <w:rsid w:val="007C0DE5"/>
    <w:rsid w:val="007C0F74"/>
    <w:rsid w:val="007C11C2"/>
    <w:rsid w:val="007C1515"/>
    <w:rsid w:val="007C1A50"/>
    <w:rsid w:val="007C1C29"/>
    <w:rsid w:val="007C1C5A"/>
    <w:rsid w:val="007C1EA0"/>
    <w:rsid w:val="007C2658"/>
    <w:rsid w:val="007C2934"/>
    <w:rsid w:val="007C2FE0"/>
    <w:rsid w:val="007C342C"/>
    <w:rsid w:val="007C3858"/>
    <w:rsid w:val="007C4F0B"/>
    <w:rsid w:val="007C58B3"/>
    <w:rsid w:val="007C62B5"/>
    <w:rsid w:val="007C6D39"/>
    <w:rsid w:val="007C702A"/>
    <w:rsid w:val="007C74C8"/>
    <w:rsid w:val="007C7610"/>
    <w:rsid w:val="007C7B40"/>
    <w:rsid w:val="007D05B9"/>
    <w:rsid w:val="007D07AF"/>
    <w:rsid w:val="007D08EE"/>
    <w:rsid w:val="007D0EA2"/>
    <w:rsid w:val="007D1136"/>
    <w:rsid w:val="007D1329"/>
    <w:rsid w:val="007D1406"/>
    <w:rsid w:val="007D15BE"/>
    <w:rsid w:val="007D1CD1"/>
    <w:rsid w:val="007D20A8"/>
    <w:rsid w:val="007D237E"/>
    <w:rsid w:val="007D24DC"/>
    <w:rsid w:val="007D25A8"/>
    <w:rsid w:val="007D3359"/>
    <w:rsid w:val="007D3371"/>
    <w:rsid w:val="007D393B"/>
    <w:rsid w:val="007D3FC5"/>
    <w:rsid w:val="007D43A3"/>
    <w:rsid w:val="007D4B9E"/>
    <w:rsid w:val="007D4C3C"/>
    <w:rsid w:val="007D5D0E"/>
    <w:rsid w:val="007D632A"/>
    <w:rsid w:val="007D677B"/>
    <w:rsid w:val="007D6AFC"/>
    <w:rsid w:val="007D7370"/>
    <w:rsid w:val="007D7929"/>
    <w:rsid w:val="007D7EBF"/>
    <w:rsid w:val="007E0753"/>
    <w:rsid w:val="007E0C95"/>
    <w:rsid w:val="007E1063"/>
    <w:rsid w:val="007E17B0"/>
    <w:rsid w:val="007E1885"/>
    <w:rsid w:val="007E1ECB"/>
    <w:rsid w:val="007E1F1D"/>
    <w:rsid w:val="007E2751"/>
    <w:rsid w:val="007E27AB"/>
    <w:rsid w:val="007E328A"/>
    <w:rsid w:val="007E3B8B"/>
    <w:rsid w:val="007E46BA"/>
    <w:rsid w:val="007E4B6D"/>
    <w:rsid w:val="007E5BC6"/>
    <w:rsid w:val="007E6285"/>
    <w:rsid w:val="007E7456"/>
    <w:rsid w:val="007E7551"/>
    <w:rsid w:val="007F0BDB"/>
    <w:rsid w:val="007F0D1D"/>
    <w:rsid w:val="007F0F31"/>
    <w:rsid w:val="007F145C"/>
    <w:rsid w:val="007F18FC"/>
    <w:rsid w:val="007F1C33"/>
    <w:rsid w:val="007F1F0A"/>
    <w:rsid w:val="007F20CA"/>
    <w:rsid w:val="007F29CB"/>
    <w:rsid w:val="007F29FF"/>
    <w:rsid w:val="007F2E21"/>
    <w:rsid w:val="007F2E92"/>
    <w:rsid w:val="007F4DD3"/>
    <w:rsid w:val="007F55E2"/>
    <w:rsid w:val="007F62A6"/>
    <w:rsid w:val="007F74C4"/>
    <w:rsid w:val="007F760A"/>
    <w:rsid w:val="007F771A"/>
    <w:rsid w:val="007F78FA"/>
    <w:rsid w:val="007F7AAD"/>
    <w:rsid w:val="007F7E40"/>
    <w:rsid w:val="007F7E9A"/>
    <w:rsid w:val="008000A6"/>
    <w:rsid w:val="00800519"/>
    <w:rsid w:val="0080078D"/>
    <w:rsid w:val="0080115F"/>
    <w:rsid w:val="0080117D"/>
    <w:rsid w:val="00801C2A"/>
    <w:rsid w:val="00801E79"/>
    <w:rsid w:val="00801F87"/>
    <w:rsid w:val="00802A90"/>
    <w:rsid w:val="00802DA5"/>
    <w:rsid w:val="00803165"/>
    <w:rsid w:val="00803220"/>
    <w:rsid w:val="00803771"/>
    <w:rsid w:val="00804A4D"/>
    <w:rsid w:val="00804DC3"/>
    <w:rsid w:val="008053D5"/>
    <w:rsid w:val="00805E02"/>
    <w:rsid w:val="0080741D"/>
    <w:rsid w:val="00807CA9"/>
    <w:rsid w:val="00810CC6"/>
    <w:rsid w:val="00811128"/>
    <w:rsid w:val="008111E4"/>
    <w:rsid w:val="008116A3"/>
    <w:rsid w:val="008122DE"/>
    <w:rsid w:val="0081230E"/>
    <w:rsid w:val="00812342"/>
    <w:rsid w:val="00812488"/>
    <w:rsid w:val="008124D7"/>
    <w:rsid w:val="008125C0"/>
    <w:rsid w:val="00813125"/>
    <w:rsid w:val="0081321C"/>
    <w:rsid w:val="00814325"/>
    <w:rsid w:val="00814476"/>
    <w:rsid w:val="00814B20"/>
    <w:rsid w:val="00814B9A"/>
    <w:rsid w:val="00814F92"/>
    <w:rsid w:val="008154F1"/>
    <w:rsid w:val="00815B21"/>
    <w:rsid w:val="00815F0A"/>
    <w:rsid w:val="008163E7"/>
    <w:rsid w:val="0081650E"/>
    <w:rsid w:val="00816687"/>
    <w:rsid w:val="008168A5"/>
    <w:rsid w:val="00816B03"/>
    <w:rsid w:val="00817666"/>
    <w:rsid w:val="008179FD"/>
    <w:rsid w:val="00817E11"/>
    <w:rsid w:val="00817EC8"/>
    <w:rsid w:val="00820FE3"/>
    <w:rsid w:val="00822EEA"/>
    <w:rsid w:val="008238E5"/>
    <w:rsid w:val="00823EF4"/>
    <w:rsid w:val="00824BE1"/>
    <w:rsid w:val="00825294"/>
    <w:rsid w:val="008257F1"/>
    <w:rsid w:val="008259D8"/>
    <w:rsid w:val="008260FB"/>
    <w:rsid w:val="00826B19"/>
    <w:rsid w:val="00826C17"/>
    <w:rsid w:val="00826E60"/>
    <w:rsid w:val="008276EE"/>
    <w:rsid w:val="00827AAD"/>
    <w:rsid w:val="00827F3B"/>
    <w:rsid w:val="008310C8"/>
    <w:rsid w:val="00831806"/>
    <w:rsid w:val="00831A51"/>
    <w:rsid w:val="00831A56"/>
    <w:rsid w:val="00831C53"/>
    <w:rsid w:val="0083260C"/>
    <w:rsid w:val="0083299F"/>
    <w:rsid w:val="00832F7E"/>
    <w:rsid w:val="008331D9"/>
    <w:rsid w:val="00833215"/>
    <w:rsid w:val="00833895"/>
    <w:rsid w:val="00833F7D"/>
    <w:rsid w:val="00834105"/>
    <w:rsid w:val="00834273"/>
    <w:rsid w:val="008342B8"/>
    <w:rsid w:val="00834674"/>
    <w:rsid w:val="00834AFE"/>
    <w:rsid w:val="00834D2E"/>
    <w:rsid w:val="00834D5F"/>
    <w:rsid w:val="00834D8F"/>
    <w:rsid w:val="008351B5"/>
    <w:rsid w:val="008352A6"/>
    <w:rsid w:val="008356B3"/>
    <w:rsid w:val="00836376"/>
    <w:rsid w:val="00836801"/>
    <w:rsid w:val="00837058"/>
    <w:rsid w:val="0083712D"/>
    <w:rsid w:val="00837E22"/>
    <w:rsid w:val="00840298"/>
    <w:rsid w:val="0084070D"/>
    <w:rsid w:val="008408DF"/>
    <w:rsid w:val="00840B32"/>
    <w:rsid w:val="00840FA3"/>
    <w:rsid w:val="008414ED"/>
    <w:rsid w:val="00841692"/>
    <w:rsid w:val="00841F53"/>
    <w:rsid w:val="00842169"/>
    <w:rsid w:val="008424DC"/>
    <w:rsid w:val="00842BBA"/>
    <w:rsid w:val="00842F64"/>
    <w:rsid w:val="00843485"/>
    <w:rsid w:val="00843ABB"/>
    <w:rsid w:val="0084447B"/>
    <w:rsid w:val="0084477B"/>
    <w:rsid w:val="008447C5"/>
    <w:rsid w:val="00844916"/>
    <w:rsid w:val="00844D78"/>
    <w:rsid w:val="008458A2"/>
    <w:rsid w:val="00845B97"/>
    <w:rsid w:val="00846C63"/>
    <w:rsid w:val="00847587"/>
    <w:rsid w:val="008476AC"/>
    <w:rsid w:val="00847788"/>
    <w:rsid w:val="00847AD1"/>
    <w:rsid w:val="00847BB8"/>
    <w:rsid w:val="00851F82"/>
    <w:rsid w:val="008520AF"/>
    <w:rsid w:val="008524A7"/>
    <w:rsid w:val="00852927"/>
    <w:rsid w:val="00852A19"/>
    <w:rsid w:val="008538E6"/>
    <w:rsid w:val="00854E27"/>
    <w:rsid w:val="00854F68"/>
    <w:rsid w:val="008553B7"/>
    <w:rsid w:val="00855A95"/>
    <w:rsid w:val="00855D32"/>
    <w:rsid w:val="00855D51"/>
    <w:rsid w:val="00855FE3"/>
    <w:rsid w:val="008608AF"/>
    <w:rsid w:val="008616BE"/>
    <w:rsid w:val="00861EFA"/>
    <w:rsid w:val="008620A1"/>
    <w:rsid w:val="008620B0"/>
    <w:rsid w:val="00862337"/>
    <w:rsid w:val="00862A59"/>
    <w:rsid w:val="00862D0C"/>
    <w:rsid w:val="00862D61"/>
    <w:rsid w:val="0086322E"/>
    <w:rsid w:val="008639C5"/>
    <w:rsid w:val="00863CEC"/>
    <w:rsid w:val="00863DE9"/>
    <w:rsid w:val="00863F7B"/>
    <w:rsid w:val="0086414D"/>
    <w:rsid w:val="008645F0"/>
    <w:rsid w:val="008646E9"/>
    <w:rsid w:val="008648A4"/>
    <w:rsid w:val="008649E4"/>
    <w:rsid w:val="008650A4"/>
    <w:rsid w:val="00865848"/>
    <w:rsid w:val="00865B76"/>
    <w:rsid w:val="00866785"/>
    <w:rsid w:val="00866CC4"/>
    <w:rsid w:val="00866DB0"/>
    <w:rsid w:val="00866E84"/>
    <w:rsid w:val="008674DC"/>
    <w:rsid w:val="00867796"/>
    <w:rsid w:val="00870D72"/>
    <w:rsid w:val="00870DF7"/>
    <w:rsid w:val="0087104A"/>
    <w:rsid w:val="008712F3"/>
    <w:rsid w:val="00871629"/>
    <w:rsid w:val="008717D1"/>
    <w:rsid w:val="008719D6"/>
    <w:rsid w:val="00871AE1"/>
    <w:rsid w:val="00871B2B"/>
    <w:rsid w:val="00872AAF"/>
    <w:rsid w:val="0087322A"/>
    <w:rsid w:val="00873A2E"/>
    <w:rsid w:val="00873C79"/>
    <w:rsid w:val="008741B4"/>
    <w:rsid w:val="0087426D"/>
    <w:rsid w:val="0087430C"/>
    <w:rsid w:val="008743EC"/>
    <w:rsid w:val="00874DC3"/>
    <w:rsid w:val="008751A9"/>
    <w:rsid w:val="00875208"/>
    <w:rsid w:val="0087537B"/>
    <w:rsid w:val="008756EC"/>
    <w:rsid w:val="00875C79"/>
    <w:rsid w:val="00875CC3"/>
    <w:rsid w:val="00875EBC"/>
    <w:rsid w:val="00875FC3"/>
    <w:rsid w:val="008761DC"/>
    <w:rsid w:val="00876C92"/>
    <w:rsid w:val="00876D4F"/>
    <w:rsid w:val="00877085"/>
    <w:rsid w:val="00877E66"/>
    <w:rsid w:val="00881324"/>
    <w:rsid w:val="008814D1"/>
    <w:rsid w:val="0088191B"/>
    <w:rsid w:val="00881E51"/>
    <w:rsid w:val="00881F99"/>
    <w:rsid w:val="00882664"/>
    <w:rsid w:val="00882C04"/>
    <w:rsid w:val="00882CEA"/>
    <w:rsid w:val="00883087"/>
    <w:rsid w:val="00883B7E"/>
    <w:rsid w:val="00883BF2"/>
    <w:rsid w:val="008842DD"/>
    <w:rsid w:val="00884C4A"/>
    <w:rsid w:val="00884ED6"/>
    <w:rsid w:val="008850EE"/>
    <w:rsid w:val="0088523C"/>
    <w:rsid w:val="008854B8"/>
    <w:rsid w:val="00885547"/>
    <w:rsid w:val="00885633"/>
    <w:rsid w:val="0088567E"/>
    <w:rsid w:val="00885D87"/>
    <w:rsid w:val="00885E89"/>
    <w:rsid w:val="0088605C"/>
    <w:rsid w:val="00886104"/>
    <w:rsid w:val="00886D3D"/>
    <w:rsid w:val="00887074"/>
    <w:rsid w:val="0088725E"/>
    <w:rsid w:val="00887317"/>
    <w:rsid w:val="00887A65"/>
    <w:rsid w:val="00887F5E"/>
    <w:rsid w:val="00887F99"/>
    <w:rsid w:val="00891277"/>
    <w:rsid w:val="008912DC"/>
    <w:rsid w:val="008914A0"/>
    <w:rsid w:val="008922A1"/>
    <w:rsid w:val="00892978"/>
    <w:rsid w:val="00893060"/>
    <w:rsid w:val="008938B4"/>
    <w:rsid w:val="0089446C"/>
    <w:rsid w:val="00894D9E"/>
    <w:rsid w:val="00894E8F"/>
    <w:rsid w:val="00895505"/>
    <w:rsid w:val="00895563"/>
    <w:rsid w:val="00895854"/>
    <w:rsid w:val="008959BA"/>
    <w:rsid w:val="00895B8A"/>
    <w:rsid w:val="008967B2"/>
    <w:rsid w:val="00896A64"/>
    <w:rsid w:val="00896A6B"/>
    <w:rsid w:val="00896CC4"/>
    <w:rsid w:val="00896F6A"/>
    <w:rsid w:val="00897E97"/>
    <w:rsid w:val="008A14C3"/>
    <w:rsid w:val="008A22A2"/>
    <w:rsid w:val="008A278F"/>
    <w:rsid w:val="008A29BA"/>
    <w:rsid w:val="008A2ED3"/>
    <w:rsid w:val="008A306A"/>
    <w:rsid w:val="008A3231"/>
    <w:rsid w:val="008A3C95"/>
    <w:rsid w:val="008A4FC4"/>
    <w:rsid w:val="008A52D0"/>
    <w:rsid w:val="008A5708"/>
    <w:rsid w:val="008A5736"/>
    <w:rsid w:val="008A59BA"/>
    <w:rsid w:val="008A5AB9"/>
    <w:rsid w:val="008A5B1F"/>
    <w:rsid w:val="008A5E91"/>
    <w:rsid w:val="008A63F7"/>
    <w:rsid w:val="008A64B5"/>
    <w:rsid w:val="008A659F"/>
    <w:rsid w:val="008A6851"/>
    <w:rsid w:val="008A6875"/>
    <w:rsid w:val="008A6A2F"/>
    <w:rsid w:val="008A6BEB"/>
    <w:rsid w:val="008A6FE2"/>
    <w:rsid w:val="008A7246"/>
    <w:rsid w:val="008A743F"/>
    <w:rsid w:val="008B0494"/>
    <w:rsid w:val="008B097F"/>
    <w:rsid w:val="008B100D"/>
    <w:rsid w:val="008B202A"/>
    <w:rsid w:val="008B2127"/>
    <w:rsid w:val="008B219E"/>
    <w:rsid w:val="008B268C"/>
    <w:rsid w:val="008B2F77"/>
    <w:rsid w:val="008B381F"/>
    <w:rsid w:val="008B3ADE"/>
    <w:rsid w:val="008B58E8"/>
    <w:rsid w:val="008B58F1"/>
    <w:rsid w:val="008B60BD"/>
    <w:rsid w:val="008B6B2B"/>
    <w:rsid w:val="008B6BEA"/>
    <w:rsid w:val="008B6D42"/>
    <w:rsid w:val="008B6DB1"/>
    <w:rsid w:val="008B71AB"/>
    <w:rsid w:val="008B74A9"/>
    <w:rsid w:val="008B789F"/>
    <w:rsid w:val="008B7CE7"/>
    <w:rsid w:val="008B7F0C"/>
    <w:rsid w:val="008B7F6E"/>
    <w:rsid w:val="008C0B9C"/>
    <w:rsid w:val="008C11D7"/>
    <w:rsid w:val="008C1509"/>
    <w:rsid w:val="008C16FA"/>
    <w:rsid w:val="008C1949"/>
    <w:rsid w:val="008C248E"/>
    <w:rsid w:val="008C2864"/>
    <w:rsid w:val="008C2E12"/>
    <w:rsid w:val="008C341B"/>
    <w:rsid w:val="008C3F15"/>
    <w:rsid w:val="008C437A"/>
    <w:rsid w:val="008C4A3F"/>
    <w:rsid w:val="008C4C76"/>
    <w:rsid w:val="008C5262"/>
    <w:rsid w:val="008C5916"/>
    <w:rsid w:val="008C591D"/>
    <w:rsid w:val="008C6148"/>
    <w:rsid w:val="008C622C"/>
    <w:rsid w:val="008C7074"/>
    <w:rsid w:val="008C72E5"/>
    <w:rsid w:val="008C7803"/>
    <w:rsid w:val="008C7ADE"/>
    <w:rsid w:val="008D05A0"/>
    <w:rsid w:val="008D0C44"/>
    <w:rsid w:val="008D0CB4"/>
    <w:rsid w:val="008D0F2E"/>
    <w:rsid w:val="008D143B"/>
    <w:rsid w:val="008D1509"/>
    <w:rsid w:val="008D168B"/>
    <w:rsid w:val="008D1A67"/>
    <w:rsid w:val="008D204E"/>
    <w:rsid w:val="008D20FF"/>
    <w:rsid w:val="008D28C8"/>
    <w:rsid w:val="008D2A85"/>
    <w:rsid w:val="008D3174"/>
    <w:rsid w:val="008D33A0"/>
    <w:rsid w:val="008D3708"/>
    <w:rsid w:val="008D3EA8"/>
    <w:rsid w:val="008D40EA"/>
    <w:rsid w:val="008D44D0"/>
    <w:rsid w:val="008D4642"/>
    <w:rsid w:val="008D476D"/>
    <w:rsid w:val="008D5161"/>
    <w:rsid w:val="008D59A4"/>
    <w:rsid w:val="008D5E38"/>
    <w:rsid w:val="008D685D"/>
    <w:rsid w:val="008D6D75"/>
    <w:rsid w:val="008D6DBC"/>
    <w:rsid w:val="008D769A"/>
    <w:rsid w:val="008D78D8"/>
    <w:rsid w:val="008D7903"/>
    <w:rsid w:val="008E0643"/>
    <w:rsid w:val="008E0823"/>
    <w:rsid w:val="008E0AC1"/>
    <w:rsid w:val="008E0C20"/>
    <w:rsid w:val="008E0DE0"/>
    <w:rsid w:val="008E0EDE"/>
    <w:rsid w:val="008E16AF"/>
    <w:rsid w:val="008E1A9D"/>
    <w:rsid w:val="008E1B43"/>
    <w:rsid w:val="008E2C85"/>
    <w:rsid w:val="008E3009"/>
    <w:rsid w:val="008E3066"/>
    <w:rsid w:val="008E34F0"/>
    <w:rsid w:val="008E3525"/>
    <w:rsid w:val="008E3A17"/>
    <w:rsid w:val="008E4152"/>
    <w:rsid w:val="008E41AB"/>
    <w:rsid w:val="008E4C72"/>
    <w:rsid w:val="008E526A"/>
    <w:rsid w:val="008E5278"/>
    <w:rsid w:val="008E558F"/>
    <w:rsid w:val="008E5FF0"/>
    <w:rsid w:val="008E7637"/>
    <w:rsid w:val="008E7662"/>
    <w:rsid w:val="008E7DF2"/>
    <w:rsid w:val="008F0446"/>
    <w:rsid w:val="008F05F2"/>
    <w:rsid w:val="008F0E26"/>
    <w:rsid w:val="008F13F2"/>
    <w:rsid w:val="008F15B5"/>
    <w:rsid w:val="008F1894"/>
    <w:rsid w:val="008F1F6B"/>
    <w:rsid w:val="008F2384"/>
    <w:rsid w:val="008F2BE5"/>
    <w:rsid w:val="008F2E9B"/>
    <w:rsid w:val="008F2EB6"/>
    <w:rsid w:val="008F3C13"/>
    <w:rsid w:val="008F44F4"/>
    <w:rsid w:val="008F4B5E"/>
    <w:rsid w:val="008F4BCA"/>
    <w:rsid w:val="008F5FF6"/>
    <w:rsid w:val="008F6780"/>
    <w:rsid w:val="008F7CED"/>
    <w:rsid w:val="0090026F"/>
    <w:rsid w:val="00900577"/>
    <w:rsid w:val="00901474"/>
    <w:rsid w:val="00901897"/>
    <w:rsid w:val="009022E5"/>
    <w:rsid w:val="009023F5"/>
    <w:rsid w:val="0090354A"/>
    <w:rsid w:val="00903984"/>
    <w:rsid w:val="00903A13"/>
    <w:rsid w:val="00904155"/>
    <w:rsid w:val="009044D4"/>
    <w:rsid w:val="0090486A"/>
    <w:rsid w:val="0090493F"/>
    <w:rsid w:val="00904ABE"/>
    <w:rsid w:val="00904D5E"/>
    <w:rsid w:val="00905419"/>
    <w:rsid w:val="00905E37"/>
    <w:rsid w:val="00905EE5"/>
    <w:rsid w:val="0090655F"/>
    <w:rsid w:val="00906693"/>
    <w:rsid w:val="00906D7C"/>
    <w:rsid w:val="00907A26"/>
    <w:rsid w:val="00910135"/>
    <w:rsid w:val="00910212"/>
    <w:rsid w:val="009103A0"/>
    <w:rsid w:val="0091109C"/>
    <w:rsid w:val="009119A4"/>
    <w:rsid w:val="009126CF"/>
    <w:rsid w:val="00912F57"/>
    <w:rsid w:val="00912FF4"/>
    <w:rsid w:val="0091393D"/>
    <w:rsid w:val="00914260"/>
    <w:rsid w:val="00914A2C"/>
    <w:rsid w:val="00914A99"/>
    <w:rsid w:val="00914BB2"/>
    <w:rsid w:val="00915324"/>
    <w:rsid w:val="0091563A"/>
    <w:rsid w:val="009157AC"/>
    <w:rsid w:val="0091591C"/>
    <w:rsid w:val="00915BF2"/>
    <w:rsid w:val="00915CB8"/>
    <w:rsid w:val="00916657"/>
    <w:rsid w:val="00916C0F"/>
    <w:rsid w:val="009172DA"/>
    <w:rsid w:val="0091758E"/>
    <w:rsid w:val="0091777D"/>
    <w:rsid w:val="00917AA0"/>
    <w:rsid w:val="00917BF3"/>
    <w:rsid w:val="00917CD4"/>
    <w:rsid w:val="00917CFD"/>
    <w:rsid w:val="00920062"/>
    <w:rsid w:val="009201A8"/>
    <w:rsid w:val="0092034A"/>
    <w:rsid w:val="00920BE1"/>
    <w:rsid w:val="00921BF8"/>
    <w:rsid w:val="0092227A"/>
    <w:rsid w:val="00922651"/>
    <w:rsid w:val="009226BF"/>
    <w:rsid w:val="00922CDD"/>
    <w:rsid w:val="00923048"/>
    <w:rsid w:val="009237A5"/>
    <w:rsid w:val="00923E9F"/>
    <w:rsid w:val="009243F7"/>
    <w:rsid w:val="0092458F"/>
    <w:rsid w:val="0092470B"/>
    <w:rsid w:val="00924A2B"/>
    <w:rsid w:val="00924ACF"/>
    <w:rsid w:val="009253B0"/>
    <w:rsid w:val="009255B3"/>
    <w:rsid w:val="00925911"/>
    <w:rsid w:val="00925BCF"/>
    <w:rsid w:val="00925E14"/>
    <w:rsid w:val="00925F2E"/>
    <w:rsid w:val="0092611F"/>
    <w:rsid w:val="00926186"/>
    <w:rsid w:val="0092639C"/>
    <w:rsid w:val="00926CE5"/>
    <w:rsid w:val="009275BD"/>
    <w:rsid w:val="009278E1"/>
    <w:rsid w:val="00927C1F"/>
    <w:rsid w:val="009302B4"/>
    <w:rsid w:val="00930535"/>
    <w:rsid w:val="00930FEA"/>
    <w:rsid w:val="00931FB2"/>
    <w:rsid w:val="0093371A"/>
    <w:rsid w:val="009339FE"/>
    <w:rsid w:val="00933E00"/>
    <w:rsid w:val="00934716"/>
    <w:rsid w:val="00934746"/>
    <w:rsid w:val="009350EE"/>
    <w:rsid w:val="00935527"/>
    <w:rsid w:val="00935607"/>
    <w:rsid w:val="00935D2D"/>
    <w:rsid w:val="00935EDD"/>
    <w:rsid w:val="00935F61"/>
    <w:rsid w:val="00936328"/>
    <w:rsid w:val="009369C3"/>
    <w:rsid w:val="009378C7"/>
    <w:rsid w:val="009378DA"/>
    <w:rsid w:val="009401BA"/>
    <w:rsid w:val="00940369"/>
    <w:rsid w:val="00940734"/>
    <w:rsid w:val="00940A08"/>
    <w:rsid w:val="00941945"/>
    <w:rsid w:val="00941D9E"/>
    <w:rsid w:val="00941F2D"/>
    <w:rsid w:val="009421AC"/>
    <w:rsid w:val="00942AAC"/>
    <w:rsid w:val="009443E8"/>
    <w:rsid w:val="0094441F"/>
    <w:rsid w:val="00944E27"/>
    <w:rsid w:val="00945270"/>
    <w:rsid w:val="00945596"/>
    <w:rsid w:val="009456D3"/>
    <w:rsid w:val="00946094"/>
    <w:rsid w:val="0094674E"/>
    <w:rsid w:val="0095013D"/>
    <w:rsid w:val="00950381"/>
    <w:rsid w:val="009507C2"/>
    <w:rsid w:val="00950C8D"/>
    <w:rsid w:val="00950F46"/>
    <w:rsid w:val="009515F4"/>
    <w:rsid w:val="0095185C"/>
    <w:rsid w:val="00951B6F"/>
    <w:rsid w:val="009522A4"/>
    <w:rsid w:val="00952423"/>
    <w:rsid w:val="009525F7"/>
    <w:rsid w:val="00953226"/>
    <w:rsid w:val="0095358A"/>
    <w:rsid w:val="00953A90"/>
    <w:rsid w:val="00953CF9"/>
    <w:rsid w:val="009547DA"/>
    <w:rsid w:val="009549EE"/>
    <w:rsid w:val="00954AFB"/>
    <w:rsid w:val="00954BBF"/>
    <w:rsid w:val="00954BEA"/>
    <w:rsid w:val="00954DD9"/>
    <w:rsid w:val="00955A26"/>
    <w:rsid w:val="00955CB4"/>
    <w:rsid w:val="00955F6B"/>
    <w:rsid w:val="009569ED"/>
    <w:rsid w:val="00956B6D"/>
    <w:rsid w:val="00956C07"/>
    <w:rsid w:val="00957ACB"/>
    <w:rsid w:val="0096097B"/>
    <w:rsid w:val="0096124C"/>
    <w:rsid w:val="009614E1"/>
    <w:rsid w:val="00961A60"/>
    <w:rsid w:val="00962130"/>
    <w:rsid w:val="00962A85"/>
    <w:rsid w:val="00962F61"/>
    <w:rsid w:val="0096313E"/>
    <w:rsid w:val="00963311"/>
    <w:rsid w:val="00963490"/>
    <w:rsid w:val="00963A6A"/>
    <w:rsid w:val="00964525"/>
    <w:rsid w:val="009648B3"/>
    <w:rsid w:val="00964FFE"/>
    <w:rsid w:val="009652F8"/>
    <w:rsid w:val="0096562F"/>
    <w:rsid w:val="00965B02"/>
    <w:rsid w:val="00966070"/>
    <w:rsid w:val="0096676F"/>
    <w:rsid w:val="00966954"/>
    <w:rsid w:val="00966D74"/>
    <w:rsid w:val="00966FBA"/>
    <w:rsid w:val="00967450"/>
    <w:rsid w:val="009675CC"/>
    <w:rsid w:val="00970095"/>
    <w:rsid w:val="0097023E"/>
    <w:rsid w:val="00970266"/>
    <w:rsid w:val="00970386"/>
    <w:rsid w:val="009706C0"/>
    <w:rsid w:val="0097073B"/>
    <w:rsid w:val="00970CD5"/>
    <w:rsid w:val="009724C4"/>
    <w:rsid w:val="0097257B"/>
    <w:rsid w:val="00972A36"/>
    <w:rsid w:val="00972F89"/>
    <w:rsid w:val="00973297"/>
    <w:rsid w:val="00973620"/>
    <w:rsid w:val="00973E24"/>
    <w:rsid w:val="00974F26"/>
    <w:rsid w:val="009750E5"/>
    <w:rsid w:val="0097512A"/>
    <w:rsid w:val="00975466"/>
    <w:rsid w:val="009755DD"/>
    <w:rsid w:val="00975FA8"/>
    <w:rsid w:val="009760F8"/>
    <w:rsid w:val="00976C4D"/>
    <w:rsid w:val="00977124"/>
    <w:rsid w:val="00977365"/>
    <w:rsid w:val="00977629"/>
    <w:rsid w:val="00980099"/>
    <w:rsid w:val="0098009E"/>
    <w:rsid w:val="00980645"/>
    <w:rsid w:val="00980758"/>
    <w:rsid w:val="009821E6"/>
    <w:rsid w:val="00983A4C"/>
    <w:rsid w:val="00983ACB"/>
    <w:rsid w:val="00983D9C"/>
    <w:rsid w:val="009840DF"/>
    <w:rsid w:val="009843B6"/>
    <w:rsid w:val="00984B3E"/>
    <w:rsid w:val="00985037"/>
    <w:rsid w:val="0098546C"/>
    <w:rsid w:val="00985ABC"/>
    <w:rsid w:val="009870A2"/>
    <w:rsid w:val="009871CA"/>
    <w:rsid w:val="0098791C"/>
    <w:rsid w:val="00987AEC"/>
    <w:rsid w:val="00987B68"/>
    <w:rsid w:val="00990189"/>
    <w:rsid w:val="009906FE"/>
    <w:rsid w:val="00990DDE"/>
    <w:rsid w:val="00990F14"/>
    <w:rsid w:val="0099106D"/>
    <w:rsid w:val="00991244"/>
    <w:rsid w:val="009921F2"/>
    <w:rsid w:val="00992273"/>
    <w:rsid w:val="00992478"/>
    <w:rsid w:val="00993684"/>
    <w:rsid w:val="00993D26"/>
    <w:rsid w:val="00994B50"/>
    <w:rsid w:val="00995A43"/>
    <w:rsid w:val="00995E29"/>
    <w:rsid w:val="00996DFD"/>
    <w:rsid w:val="009972AD"/>
    <w:rsid w:val="00997539"/>
    <w:rsid w:val="009A0313"/>
    <w:rsid w:val="009A03AA"/>
    <w:rsid w:val="009A0FB5"/>
    <w:rsid w:val="009A1649"/>
    <w:rsid w:val="009A1732"/>
    <w:rsid w:val="009A175A"/>
    <w:rsid w:val="009A23B7"/>
    <w:rsid w:val="009A2949"/>
    <w:rsid w:val="009A2C39"/>
    <w:rsid w:val="009A2F3B"/>
    <w:rsid w:val="009A345F"/>
    <w:rsid w:val="009A446E"/>
    <w:rsid w:val="009A44ED"/>
    <w:rsid w:val="009A4802"/>
    <w:rsid w:val="009A5491"/>
    <w:rsid w:val="009A5A76"/>
    <w:rsid w:val="009A5B76"/>
    <w:rsid w:val="009A5D01"/>
    <w:rsid w:val="009A6031"/>
    <w:rsid w:val="009A634A"/>
    <w:rsid w:val="009A67EE"/>
    <w:rsid w:val="009A6E78"/>
    <w:rsid w:val="009A705A"/>
    <w:rsid w:val="009A7125"/>
    <w:rsid w:val="009A7661"/>
    <w:rsid w:val="009A790B"/>
    <w:rsid w:val="009A7D32"/>
    <w:rsid w:val="009B0DF7"/>
    <w:rsid w:val="009B0E30"/>
    <w:rsid w:val="009B13EE"/>
    <w:rsid w:val="009B1498"/>
    <w:rsid w:val="009B151C"/>
    <w:rsid w:val="009B24E6"/>
    <w:rsid w:val="009B25A1"/>
    <w:rsid w:val="009B317A"/>
    <w:rsid w:val="009B37A2"/>
    <w:rsid w:val="009B42B3"/>
    <w:rsid w:val="009B438F"/>
    <w:rsid w:val="009B4823"/>
    <w:rsid w:val="009B4991"/>
    <w:rsid w:val="009B4A27"/>
    <w:rsid w:val="009B4EB8"/>
    <w:rsid w:val="009B507D"/>
    <w:rsid w:val="009B5AA4"/>
    <w:rsid w:val="009B5F3C"/>
    <w:rsid w:val="009B649D"/>
    <w:rsid w:val="009B6676"/>
    <w:rsid w:val="009B6C65"/>
    <w:rsid w:val="009B726D"/>
    <w:rsid w:val="009B7585"/>
    <w:rsid w:val="009B7990"/>
    <w:rsid w:val="009B7C42"/>
    <w:rsid w:val="009B7E8C"/>
    <w:rsid w:val="009C01B6"/>
    <w:rsid w:val="009C04B9"/>
    <w:rsid w:val="009C0814"/>
    <w:rsid w:val="009C1283"/>
    <w:rsid w:val="009C156B"/>
    <w:rsid w:val="009C17FB"/>
    <w:rsid w:val="009C1E37"/>
    <w:rsid w:val="009C210F"/>
    <w:rsid w:val="009C3E0C"/>
    <w:rsid w:val="009C4050"/>
    <w:rsid w:val="009C44F0"/>
    <w:rsid w:val="009C47F4"/>
    <w:rsid w:val="009C4B1F"/>
    <w:rsid w:val="009C5028"/>
    <w:rsid w:val="009C5A9E"/>
    <w:rsid w:val="009C631E"/>
    <w:rsid w:val="009C6425"/>
    <w:rsid w:val="009C6515"/>
    <w:rsid w:val="009C675F"/>
    <w:rsid w:val="009C692F"/>
    <w:rsid w:val="009C693E"/>
    <w:rsid w:val="009C6FD1"/>
    <w:rsid w:val="009C7F11"/>
    <w:rsid w:val="009D0209"/>
    <w:rsid w:val="009D0F0D"/>
    <w:rsid w:val="009D1274"/>
    <w:rsid w:val="009D1416"/>
    <w:rsid w:val="009D1CCD"/>
    <w:rsid w:val="009D2B60"/>
    <w:rsid w:val="009D2C4D"/>
    <w:rsid w:val="009D37B5"/>
    <w:rsid w:val="009D3BCA"/>
    <w:rsid w:val="009D3CF5"/>
    <w:rsid w:val="009D3E3A"/>
    <w:rsid w:val="009D4168"/>
    <w:rsid w:val="009D4415"/>
    <w:rsid w:val="009D48E2"/>
    <w:rsid w:val="009D502D"/>
    <w:rsid w:val="009D505E"/>
    <w:rsid w:val="009D51F3"/>
    <w:rsid w:val="009D53BC"/>
    <w:rsid w:val="009D5584"/>
    <w:rsid w:val="009D586D"/>
    <w:rsid w:val="009D5F17"/>
    <w:rsid w:val="009D6247"/>
    <w:rsid w:val="009D6D46"/>
    <w:rsid w:val="009D6E88"/>
    <w:rsid w:val="009D761B"/>
    <w:rsid w:val="009D7A05"/>
    <w:rsid w:val="009D7FBB"/>
    <w:rsid w:val="009E056E"/>
    <w:rsid w:val="009E0BC5"/>
    <w:rsid w:val="009E1125"/>
    <w:rsid w:val="009E17E2"/>
    <w:rsid w:val="009E2548"/>
    <w:rsid w:val="009E26B3"/>
    <w:rsid w:val="009E2C06"/>
    <w:rsid w:val="009E37E2"/>
    <w:rsid w:val="009E3A48"/>
    <w:rsid w:val="009E3AC7"/>
    <w:rsid w:val="009E404B"/>
    <w:rsid w:val="009E4263"/>
    <w:rsid w:val="009E444A"/>
    <w:rsid w:val="009E6262"/>
    <w:rsid w:val="009E68C1"/>
    <w:rsid w:val="009E707A"/>
    <w:rsid w:val="009E7303"/>
    <w:rsid w:val="009F04F5"/>
    <w:rsid w:val="009F0518"/>
    <w:rsid w:val="009F058E"/>
    <w:rsid w:val="009F116C"/>
    <w:rsid w:val="009F20D4"/>
    <w:rsid w:val="009F25B8"/>
    <w:rsid w:val="009F2E7C"/>
    <w:rsid w:val="009F30C9"/>
    <w:rsid w:val="009F3547"/>
    <w:rsid w:val="009F3859"/>
    <w:rsid w:val="009F3ADB"/>
    <w:rsid w:val="009F3C8D"/>
    <w:rsid w:val="009F3DEF"/>
    <w:rsid w:val="009F4116"/>
    <w:rsid w:val="009F4482"/>
    <w:rsid w:val="009F4D2A"/>
    <w:rsid w:val="009F5000"/>
    <w:rsid w:val="009F56FA"/>
    <w:rsid w:val="009F5B34"/>
    <w:rsid w:val="009F5D9E"/>
    <w:rsid w:val="009F60BA"/>
    <w:rsid w:val="009F6ACE"/>
    <w:rsid w:val="009F6BB6"/>
    <w:rsid w:val="009F7068"/>
    <w:rsid w:val="009F7248"/>
    <w:rsid w:val="009F7487"/>
    <w:rsid w:val="009F79E3"/>
    <w:rsid w:val="009F7B55"/>
    <w:rsid w:val="009F7C8E"/>
    <w:rsid w:val="009F7ED3"/>
    <w:rsid w:val="009F7EE0"/>
    <w:rsid w:val="00A0055D"/>
    <w:rsid w:val="00A00C10"/>
    <w:rsid w:val="00A016AA"/>
    <w:rsid w:val="00A018D5"/>
    <w:rsid w:val="00A01987"/>
    <w:rsid w:val="00A0264A"/>
    <w:rsid w:val="00A026C2"/>
    <w:rsid w:val="00A02ADD"/>
    <w:rsid w:val="00A030EC"/>
    <w:rsid w:val="00A03CD9"/>
    <w:rsid w:val="00A03E1A"/>
    <w:rsid w:val="00A042D7"/>
    <w:rsid w:val="00A04475"/>
    <w:rsid w:val="00A04867"/>
    <w:rsid w:val="00A05240"/>
    <w:rsid w:val="00A0552E"/>
    <w:rsid w:val="00A05926"/>
    <w:rsid w:val="00A05A8C"/>
    <w:rsid w:val="00A05D39"/>
    <w:rsid w:val="00A05E09"/>
    <w:rsid w:val="00A06E1C"/>
    <w:rsid w:val="00A07DE1"/>
    <w:rsid w:val="00A107F2"/>
    <w:rsid w:val="00A10E14"/>
    <w:rsid w:val="00A10F2C"/>
    <w:rsid w:val="00A11D18"/>
    <w:rsid w:val="00A11DCC"/>
    <w:rsid w:val="00A121AA"/>
    <w:rsid w:val="00A13E7E"/>
    <w:rsid w:val="00A14B25"/>
    <w:rsid w:val="00A14BBD"/>
    <w:rsid w:val="00A14D1F"/>
    <w:rsid w:val="00A14F1F"/>
    <w:rsid w:val="00A14FE5"/>
    <w:rsid w:val="00A15035"/>
    <w:rsid w:val="00A15709"/>
    <w:rsid w:val="00A15A4A"/>
    <w:rsid w:val="00A16C24"/>
    <w:rsid w:val="00A16CFB"/>
    <w:rsid w:val="00A16F94"/>
    <w:rsid w:val="00A17011"/>
    <w:rsid w:val="00A172C2"/>
    <w:rsid w:val="00A17949"/>
    <w:rsid w:val="00A1799E"/>
    <w:rsid w:val="00A179A9"/>
    <w:rsid w:val="00A179C8"/>
    <w:rsid w:val="00A20171"/>
    <w:rsid w:val="00A205A0"/>
    <w:rsid w:val="00A20ADE"/>
    <w:rsid w:val="00A219B8"/>
    <w:rsid w:val="00A221CE"/>
    <w:rsid w:val="00A22688"/>
    <w:rsid w:val="00A22CAD"/>
    <w:rsid w:val="00A22CFD"/>
    <w:rsid w:val="00A23139"/>
    <w:rsid w:val="00A23209"/>
    <w:rsid w:val="00A23917"/>
    <w:rsid w:val="00A23AF7"/>
    <w:rsid w:val="00A23BA3"/>
    <w:rsid w:val="00A23C25"/>
    <w:rsid w:val="00A245F6"/>
    <w:rsid w:val="00A248EC"/>
    <w:rsid w:val="00A24AF9"/>
    <w:rsid w:val="00A24C0A"/>
    <w:rsid w:val="00A2527E"/>
    <w:rsid w:val="00A2528C"/>
    <w:rsid w:val="00A2589B"/>
    <w:rsid w:val="00A26494"/>
    <w:rsid w:val="00A26709"/>
    <w:rsid w:val="00A26AC9"/>
    <w:rsid w:val="00A27206"/>
    <w:rsid w:val="00A2798A"/>
    <w:rsid w:val="00A3069D"/>
    <w:rsid w:val="00A30C84"/>
    <w:rsid w:val="00A31CC0"/>
    <w:rsid w:val="00A31E3A"/>
    <w:rsid w:val="00A32EAC"/>
    <w:rsid w:val="00A32EAD"/>
    <w:rsid w:val="00A33889"/>
    <w:rsid w:val="00A3402D"/>
    <w:rsid w:val="00A348B8"/>
    <w:rsid w:val="00A34A96"/>
    <w:rsid w:val="00A34FA4"/>
    <w:rsid w:val="00A350E3"/>
    <w:rsid w:val="00A357C8"/>
    <w:rsid w:val="00A35C60"/>
    <w:rsid w:val="00A36159"/>
    <w:rsid w:val="00A3628A"/>
    <w:rsid w:val="00A36314"/>
    <w:rsid w:val="00A37091"/>
    <w:rsid w:val="00A37BA6"/>
    <w:rsid w:val="00A4002C"/>
    <w:rsid w:val="00A402EC"/>
    <w:rsid w:val="00A4115C"/>
    <w:rsid w:val="00A41253"/>
    <w:rsid w:val="00A414FE"/>
    <w:rsid w:val="00A41C36"/>
    <w:rsid w:val="00A42258"/>
    <w:rsid w:val="00A425D4"/>
    <w:rsid w:val="00A42930"/>
    <w:rsid w:val="00A42B12"/>
    <w:rsid w:val="00A43698"/>
    <w:rsid w:val="00A43F3B"/>
    <w:rsid w:val="00A4422F"/>
    <w:rsid w:val="00A44930"/>
    <w:rsid w:val="00A45C35"/>
    <w:rsid w:val="00A45EDC"/>
    <w:rsid w:val="00A45F49"/>
    <w:rsid w:val="00A46215"/>
    <w:rsid w:val="00A4659F"/>
    <w:rsid w:val="00A4749E"/>
    <w:rsid w:val="00A47766"/>
    <w:rsid w:val="00A477A4"/>
    <w:rsid w:val="00A477F2"/>
    <w:rsid w:val="00A50892"/>
    <w:rsid w:val="00A50D78"/>
    <w:rsid w:val="00A50DA2"/>
    <w:rsid w:val="00A515BC"/>
    <w:rsid w:val="00A517FC"/>
    <w:rsid w:val="00A51B51"/>
    <w:rsid w:val="00A51BBB"/>
    <w:rsid w:val="00A51FB1"/>
    <w:rsid w:val="00A5269F"/>
    <w:rsid w:val="00A526F6"/>
    <w:rsid w:val="00A527D9"/>
    <w:rsid w:val="00A52C47"/>
    <w:rsid w:val="00A53583"/>
    <w:rsid w:val="00A53966"/>
    <w:rsid w:val="00A53A38"/>
    <w:rsid w:val="00A53BFD"/>
    <w:rsid w:val="00A54071"/>
    <w:rsid w:val="00A54AA5"/>
    <w:rsid w:val="00A567DB"/>
    <w:rsid w:val="00A56A56"/>
    <w:rsid w:val="00A56AEE"/>
    <w:rsid w:val="00A56B3C"/>
    <w:rsid w:val="00A56B9E"/>
    <w:rsid w:val="00A56EC1"/>
    <w:rsid w:val="00A576B3"/>
    <w:rsid w:val="00A57892"/>
    <w:rsid w:val="00A57901"/>
    <w:rsid w:val="00A57AD3"/>
    <w:rsid w:val="00A610B7"/>
    <w:rsid w:val="00A61236"/>
    <w:rsid w:val="00A614A8"/>
    <w:rsid w:val="00A61E00"/>
    <w:rsid w:val="00A62CB9"/>
    <w:rsid w:val="00A63061"/>
    <w:rsid w:val="00A635B7"/>
    <w:rsid w:val="00A63926"/>
    <w:rsid w:val="00A64037"/>
    <w:rsid w:val="00A64589"/>
    <w:rsid w:val="00A64591"/>
    <w:rsid w:val="00A64605"/>
    <w:rsid w:val="00A64FAE"/>
    <w:rsid w:val="00A65661"/>
    <w:rsid w:val="00A65A1B"/>
    <w:rsid w:val="00A65C10"/>
    <w:rsid w:val="00A6731D"/>
    <w:rsid w:val="00A67BB9"/>
    <w:rsid w:val="00A67D34"/>
    <w:rsid w:val="00A67E24"/>
    <w:rsid w:val="00A701BB"/>
    <w:rsid w:val="00A7075F"/>
    <w:rsid w:val="00A70E06"/>
    <w:rsid w:val="00A71852"/>
    <w:rsid w:val="00A71940"/>
    <w:rsid w:val="00A71CF9"/>
    <w:rsid w:val="00A71E2F"/>
    <w:rsid w:val="00A721C8"/>
    <w:rsid w:val="00A72722"/>
    <w:rsid w:val="00A72A15"/>
    <w:rsid w:val="00A72AE9"/>
    <w:rsid w:val="00A73139"/>
    <w:rsid w:val="00A735B2"/>
    <w:rsid w:val="00A739A1"/>
    <w:rsid w:val="00A73B78"/>
    <w:rsid w:val="00A742AB"/>
    <w:rsid w:val="00A75324"/>
    <w:rsid w:val="00A75ACB"/>
    <w:rsid w:val="00A76119"/>
    <w:rsid w:val="00A76423"/>
    <w:rsid w:val="00A765AF"/>
    <w:rsid w:val="00A76B39"/>
    <w:rsid w:val="00A77048"/>
    <w:rsid w:val="00A77052"/>
    <w:rsid w:val="00A773B4"/>
    <w:rsid w:val="00A77430"/>
    <w:rsid w:val="00A7746F"/>
    <w:rsid w:val="00A77DDF"/>
    <w:rsid w:val="00A77E15"/>
    <w:rsid w:val="00A803DC"/>
    <w:rsid w:val="00A804DB"/>
    <w:rsid w:val="00A80C9D"/>
    <w:rsid w:val="00A80D10"/>
    <w:rsid w:val="00A8154F"/>
    <w:rsid w:val="00A8157F"/>
    <w:rsid w:val="00A81903"/>
    <w:rsid w:val="00A833AD"/>
    <w:rsid w:val="00A83962"/>
    <w:rsid w:val="00A83B6A"/>
    <w:rsid w:val="00A841A7"/>
    <w:rsid w:val="00A841E2"/>
    <w:rsid w:val="00A843DB"/>
    <w:rsid w:val="00A84544"/>
    <w:rsid w:val="00A84BDD"/>
    <w:rsid w:val="00A85453"/>
    <w:rsid w:val="00A85467"/>
    <w:rsid w:val="00A8589B"/>
    <w:rsid w:val="00A8627E"/>
    <w:rsid w:val="00A867D3"/>
    <w:rsid w:val="00A86A6F"/>
    <w:rsid w:val="00A90403"/>
    <w:rsid w:val="00A905B5"/>
    <w:rsid w:val="00A90638"/>
    <w:rsid w:val="00A9106E"/>
    <w:rsid w:val="00A9136A"/>
    <w:rsid w:val="00A91BD8"/>
    <w:rsid w:val="00A92345"/>
    <w:rsid w:val="00A937AC"/>
    <w:rsid w:val="00A9417D"/>
    <w:rsid w:val="00A94C2B"/>
    <w:rsid w:val="00A954DD"/>
    <w:rsid w:val="00A95566"/>
    <w:rsid w:val="00A95862"/>
    <w:rsid w:val="00A96294"/>
    <w:rsid w:val="00A96775"/>
    <w:rsid w:val="00A970AF"/>
    <w:rsid w:val="00A97243"/>
    <w:rsid w:val="00A972FA"/>
    <w:rsid w:val="00A9751E"/>
    <w:rsid w:val="00A9771D"/>
    <w:rsid w:val="00A979B0"/>
    <w:rsid w:val="00A97ABB"/>
    <w:rsid w:val="00A97C6A"/>
    <w:rsid w:val="00AA0054"/>
    <w:rsid w:val="00AA105C"/>
    <w:rsid w:val="00AA16E6"/>
    <w:rsid w:val="00AA1EDF"/>
    <w:rsid w:val="00AA227E"/>
    <w:rsid w:val="00AA2287"/>
    <w:rsid w:val="00AA2F0E"/>
    <w:rsid w:val="00AA3691"/>
    <w:rsid w:val="00AA422B"/>
    <w:rsid w:val="00AA45A1"/>
    <w:rsid w:val="00AA4944"/>
    <w:rsid w:val="00AA4ECB"/>
    <w:rsid w:val="00AA5184"/>
    <w:rsid w:val="00AA5D64"/>
    <w:rsid w:val="00AA65CB"/>
    <w:rsid w:val="00AA6A7B"/>
    <w:rsid w:val="00AA7203"/>
    <w:rsid w:val="00AA7408"/>
    <w:rsid w:val="00AA76A2"/>
    <w:rsid w:val="00AB0B53"/>
    <w:rsid w:val="00AB0CCA"/>
    <w:rsid w:val="00AB0EF0"/>
    <w:rsid w:val="00AB1A2C"/>
    <w:rsid w:val="00AB2BFC"/>
    <w:rsid w:val="00AB2F39"/>
    <w:rsid w:val="00AB3C05"/>
    <w:rsid w:val="00AB4433"/>
    <w:rsid w:val="00AB4F69"/>
    <w:rsid w:val="00AB5289"/>
    <w:rsid w:val="00AB55D1"/>
    <w:rsid w:val="00AB58FD"/>
    <w:rsid w:val="00AB5989"/>
    <w:rsid w:val="00AB5CD9"/>
    <w:rsid w:val="00AB619F"/>
    <w:rsid w:val="00AB65E4"/>
    <w:rsid w:val="00AB692D"/>
    <w:rsid w:val="00AB6F13"/>
    <w:rsid w:val="00AB77FB"/>
    <w:rsid w:val="00AB7C3D"/>
    <w:rsid w:val="00AB7E24"/>
    <w:rsid w:val="00AC0411"/>
    <w:rsid w:val="00AC08F3"/>
    <w:rsid w:val="00AC0A7F"/>
    <w:rsid w:val="00AC12FA"/>
    <w:rsid w:val="00AC160A"/>
    <w:rsid w:val="00AC1D2F"/>
    <w:rsid w:val="00AC1DA2"/>
    <w:rsid w:val="00AC1E31"/>
    <w:rsid w:val="00AC1E79"/>
    <w:rsid w:val="00AC2646"/>
    <w:rsid w:val="00AC2EF4"/>
    <w:rsid w:val="00AC2EFD"/>
    <w:rsid w:val="00AC321D"/>
    <w:rsid w:val="00AC3442"/>
    <w:rsid w:val="00AC3BB4"/>
    <w:rsid w:val="00AC3D66"/>
    <w:rsid w:val="00AC3E59"/>
    <w:rsid w:val="00AC3F42"/>
    <w:rsid w:val="00AC40C7"/>
    <w:rsid w:val="00AC476F"/>
    <w:rsid w:val="00AC4F50"/>
    <w:rsid w:val="00AC505B"/>
    <w:rsid w:val="00AC52A0"/>
    <w:rsid w:val="00AC52B8"/>
    <w:rsid w:val="00AC5B72"/>
    <w:rsid w:val="00AD024D"/>
    <w:rsid w:val="00AD07CB"/>
    <w:rsid w:val="00AD0BFA"/>
    <w:rsid w:val="00AD0DC9"/>
    <w:rsid w:val="00AD185C"/>
    <w:rsid w:val="00AD22A7"/>
    <w:rsid w:val="00AD2311"/>
    <w:rsid w:val="00AD2535"/>
    <w:rsid w:val="00AD2862"/>
    <w:rsid w:val="00AD2BAA"/>
    <w:rsid w:val="00AD2F98"/>
    <w:rsid w:val="00AD2FC7"/>
    <w:rsid w:val="00AD36C4"/>
    <w:rsid w:val="00AD3913"/>
    <w:rsid w:val="00AD3B39"/>
    <w:rsid w:val="00AD3C7D"/>
    <w:rsid w:val="00AD4873"/>
    <w:rsid w:val="00AD4B97"/>
    <w:rsid w:val="00AD4C4D"/>
    <w:rsid w:val="00AD5259"/>
    <w:rsid w:val="00AD58CA"/>
    <w:rsid w:val="00AD61A0"/>
    <w:rsid w:val="00AD64B9"/>
    <w:rsid w:val="00AD67BF"/>
    <w:rsid w:val="00AD6B43"/>
    <w:rsid w:val="00AD6BEC"/>
    <w:rsid w:val="00AD7963"/>
    <w:rsid w:val="00AD7C8C"/>
    <w:rsid w:val="00AE01DB"/>
    <w:rsid w:val="00AE0CBA"/>
    <w:rsid w:val="00AE13FA"/>
    <w:rsid w:val="00AE1D2E"/>
    <w:rsid w:val="00AE2604"/>
    <w:rsid w:val="00AE3735"/>
    <w:rsid w:val="00AE4917"/>
    <w:rsid w:val="00AE50E3"/>
    <w:rsid w:val="00AE525E"/>
    <w:rsid w:val="00AE69E2"/>
    <w:rsid w:val="00AE7421"/>
    <w:rsid w:val="00AE742A"/>
    <w:rsid w:val="00AE7ED7"/>
    <w:rsid w:val="00AF08F2"/>
    <w:rsid w:val="00AF0968"/>
    <w:rsid w:val="00AF0973"/>
    <w:rsid w:val="00AF0CBE"/>
    <w:rsid w:val="00AF16EF"/>
    <w:rsid w:val="00AF2A57"/>
    <w:rsid w:val="00AF2FBE"/>
    <w:rsid w:val="00AF30E5"/>
    <w:rsid w:val="00AF3310"/>
    <w:rsid w:val="00AF3401"/>
    <w:rsid w:val="00AF3498"/>
    <w:rsid w:val="00AF34DE"/>
    <w:rsid w:val="00AF3C61"/>
    <w:rsid w:val="00AF3FBC"/>
    <w:rsid w:val="00AF4044"/>
    <w:rsid w:val="00AF42B8"/>
    <w:rsid w:val="00AF42F2"/>
    <w:rsid w:val="00AF445B"/>
    <w:rsid w:val="00AF4470"/>
    <w:rsid w:val="00AF46E7"/>
    <w:rsid w:val="00AF49C8"/>
    <w:rsid w:val="00AF4EC4"/>
    <w:rsid w:val="00AF50FD"/>
    <w:rsid w:val="00AF5256"/>
    <w:rsid w:val="00AF68B1"/>
    <w:rsid w:val="00AF6ACA"/>
    <w:rsid w:val="00AF6B1B"/>
    <w:rsid w:val="00AF6E78"/>
    <w:rsid w:val="00AF70A6"/>
    <w:rsid w:val="00AF7C5E"/>
    <w:rsid w:val="00AF7C78"/>
    <w:rsid w:val="00AF7FDF"/>
    <w:rsid w:val="00B00511"/>
    <w:rsid w:val="00B00965"/>
    <w:rsid w:val="00B00CDC"/>
    <w:rsid w:val="00B013BF"/>
    <w:rsid w:val="00B01491"/>
    <w:rsid w:val="00B01984"/>
    <w:rsid w:val="00B02ABA"/>
    <w:rsid w:val="00B0308E"/>
    <w:rsid w:val="00B031E9"/>
    <w:rsid w:val="00B03979"/>
    <w:rsid w:val="00B039AF"/>
    <w:rsid w:val="00B03A7D"/>
    <w:rsid w:val="00B03AE4"/>
    <w:rsid w:val="00B04ACA"/>
    <w:rsid w:val="00B04CCF"/>
    <w:rsid w:val="00B04EC5"/>
    <w:rsid w:val="00B05517"/>
    <w:rsid w:val="00B05832"/>
    <w:rsid w:val="00B059DB"/>
    <w:rsid w:val="00B05ED3"/>
    <w:rsid w:val="00B0682A"/>
    <w:rsid w:val="00B0714A"/>
    <w:rsid w:val="00B07366"/>
    <w:rsid w:val="00B079CD"/>
    <w:rsid w:val="00B07AE0"/>
    <w:rsid w:val="00B10145"/>
    <w:rsid w:val="00B107F1"/>
    <w:rsid w:val="00B10953"/>
    <w:rsid w:val="00B10F55"/>
    <w:rsid w:val="00B118C3"/>
    <w:rsid w:val="00B11AF6"/>
    <w:rsid w:val="00B126CF"/>
    <w:rsid w:val="00B12D1C"/>
    <w:rsid w:val="00B13490"/>
    <w:rsid w:val="00B13747"/>
    <w:rsid w:val="00B13820"/>
    <w:rsid w:val="00B13C40"/>
    <w:rsid w:val="00B13CBB"/>
    <w:rsid w:val="00B13F2D"/>
    <w:rsid w:val="00B14014"/>
    <w:rsid w:val="00B142B9"/>
    <w:rsid w:val="00B14304"/>
    <w:rsid w:val="00B1479E"/>
    <w:rsid w:val="00B156D6"/>
    <w:rsid w:val="00B15D86"/>
    <w:rsid w:val="00B16075"/>
    <w:rsid w:val="00B16CA1"/>
    <w:rsid w:val="00B171C7"/>
    <w:rsid w:val="00B17B08"/>
    <w:rsid w:val="00B17CE4"/>
    <w:rsid w:val="00B17DF9"/>
    <w:rsid w:val="00B17EDA"/>
    <w:rsid w:val="00B17F8E"/>
    <w:rsid w:val="00B20696"/>
    <w:rsid w:val="00B210F6"/>
    <w:rsid w:val="00B212C4"/>
    <w:rsid w:val="00B21492"/>
    <w:rsid w:val="00B21977"/>
    <w:rsid w:val="00B222DC"/>
    <w:rsid w:val="00B22445"/>
    <w:rsid w:val="00B224A6"/>
    <w:rsid w:val="00B22830"/>
    <w:rsid w:val="00B22911"/>
    <w:rsid w:val="00B235A6"/>
    <w:rsid w:val="00B237EE"/>
    <w:rsid w:val="00B23C3F"/>
    <w:rsid w:val="00B245AB"/>
    <w:rsid w:val="00B24679"/>
    <w:rsid w:val="00B254D6"/>
    <w:rsid w:val="00B2557D"/>
    <w:rsid w:val="00B257C5"/>
    <w:rsid w:val="00B25869"/>
    <w:rsid w:val="00B25A09"/>
    <w:rsid w:val="00B25AC9"/>
    <w:rsid w:val="00B25E6D"/>
    <w:rsid w:val="00B260A8"/>
    <w:rsid w:val="00B2646D"/>
    <w:rsid w:val="00B27031"/>
    <w:rsid w:val="00B3095F"/>
    <w:rsid w:val="00B310B2"/>
    <w:rsid w:val="00B31747"/>
    <w:rsid w:val="00B31B06"/>
    <w:rsid w:val="00B31C5C"/>
    <w:rsid w:val="00B31DF5"/>
    <w:rsid w:val="00B31F74"/>
    <w:rsid w:val="00B32EE6"/>
    <w:rsid w:val="00B3314A"/>
    <w:rsid w:val="00B3389A"/>
    <w:rsid w:val="00B33980"/>
    <w:rsid w:val="00B34049"/>
    <w:rsid w:val="00B3414D"/>
    <w:rsid w:val="00B345F3"/>
    <w:rsid w:val="00B34D2C"/>
    <w:rsid w:val="00B352A4"/>
    <w:rsid w:val="00B352A7"/>
    <w:rsid w:val="00B35867"/>
    <w:rsid w:val="00B35B0D"/>
    <w:rsid w:val="00B35E14"/>
    <w:rsid w:val="00B362D7"/>
    <w:rsid w:val="00B363C1"/>
    <w:rsid w:val="00B36468"/>
    <w:rsid w:val="00B37442"/>
    <w:rsid w:val="00B37A08"/>
    <w:rsid w:val="00B37DAA"/>
    <w:rsid w:val="00B37F1B"/>
    <w:rsid w:val="00B40E76"/>
    <w:rsid w:val="00B41A2A"/>
    <w:rsid w:val="00B41EBC"/>
    <w:rsid w:val="00B41F9F"/>
    <w:rsid w:val="00B427E2"/>
    <w:rsid w:val="00B42A04"/>
    <w:rsid w:val="00B42FB0"/>
    <w:rsid w:val="00B42FFA"/>
    <w:rsid w:val="00B435A8"/>
    <w:rsid w:val="00B43B9F"/>
    <w:rsid w:val="00B43E9B"/>
    <w:rsid w:val="00B4425B"/>
    <w:rsid w:val="00B447BF"/>
    <w:rsid w:val="00B44CC9"/>
    <w:rsid w:val="00B45420"/>
    <w:rsid w:val="00B46065"/>
    <w:rsid w:val="00B461A2"/>
    <w:rsid w:val="00B4626B"/>
    <w:rsid w:val="00B46584"/>
    <w:rsid w:val="00B4660C"/>
    <w:rsid w:val="00B479D1"/>
    <w:rsid w:val="00B47B94"/>
    <w:rsid w:val="00B47CF5"/>
    <w:rsid w:val="00B50382"/>
    <w:rsid w:val="00B50BEC"/>
    <w:rsid w:val="00B511D8"/>
    <w:rsid w:val="00B5161F"/>
    <w:rsid w:val="00B51B3A"/>
    <w:rsid w:val="00B52022"/>
    <w:rsid w:val="00B5297F"/>
    <w:rsid w:val="00B53000"/>
    <w:rsid w:val="00B53381"/>
    <w:rsid w:val="00B53E75"/>
    <w:rsid w:val="00B54621"/>
    <w:rsid w:val="00B54CEB"/>
    <w:rsid w:val="00B54D29"/>
    <w:rsid w:val="00B55D71"/>
    <w:rsid w:val="00B57BA0"/>
    <w:rsid w:val="00B57CA8"/>
    <w:rsid w:val="00B603CF"/>
    <w:rsid w:val="00B60AAD"/>
    <w:rsid w:val="00B60F98"/>
    <w:rsid w:val="00B61AAA"/>
    <w:rsid w:val="00B61C9F"/>
    <w:rsid w:val="00B61DA9"/>
    <w:rsid w:val="00B61E58"/>
    <w:rsid w:val="00B626DA"/>
    <w:rsid w:val="00B6307F"/>
    <w:rsid w:val="00B638A8"/>
    <w:rsid w:val="00B63B55"/>
    <w:rsid w:val="00B63D9C"/>
    <w:rsid w:val="00B63EDF"/>
    <w:rsid w:val="00B64DC1"/>
    <w:rsid w:val="00B650EA"/>
    <w:rsid w:val="00B656DE"/>
    <w:rsid w:val="00B65973"/>
    <w:rsid w:val="00B65D54"/>
    <w:rsid w:val="00B65DA4"/>
    <w:rsid w:val="00B6608D"/>
    <w:rsid w:val="00B66B2A"/>
    <w:rsid w:val="00B672FB"/>
    <w:rsid w:val="00B674E1"/>
    <w:rsid w:val="00B67594"/>
    <w:rsid w:val="00B67841"/>
    <w:rsid w:val="00B679D7"/>
    <w:rsid w:val="00B67F2E"/>
    <w:rsid w:val="00B708C5"/>
    <w:rsid w:val="00B70950"/>
    <w:rsid w:val="00B709F1"/>
    <w:rsid w:val="00B70BB0"/>
    <w:rsid w:val="00B70F56"/>
    <w:rsid w:val="00B716C3"/>
    <w:rsid w:val="00B7199E"/>
    <w:rsid w:val="00B72834"/>
    <w:rsid w:val="00B728A8"/>
    <w:rsid w:val="00B72A06"/>
    <w:rsid w:val="00B72C8C"/>
    <w:rsid w:val="00B732F7"/>
    <w:rsid w:val="00B7487D"/>
    <w:rsid w:val="00B74A37"/>
    <w:rsid w:val="00B74F55"/>
    <w:rsid w:val="00B75280"/>
    <w:rsid w:val="00B756DC"/>
    <w:rsid w:val="00B75952"/>
    <w:rsid w:val="00B76643"/>
    <w:rsid w:val="00B76C30"/>
    <w:rsid w:val="00B76D3C"/>
    <w:rsid w:val="00B7735E"/>
    <w:rsid w:val="00B802E8"/>
    <w:rsid w:val="00B8055F"/>
    <w:rsid w:val="00B809BA"/>
    <w:rsid w:val="00B80E8F"/>
    <w:rsid w:val="00B81761"/>
    <w:rsid w:val="00B81DB6"/>
    <w:rsid w:val="00B825BB"/>
    <w:rsid w:val="00B827B2"/>
    <w:rsid w:val="00B83EE2"/>
    <w:rsid w:val="00B84912"/>
    <w:rsid w:val="00B849BB"/>
    <w:rsid w:val="00B8547E"/>
    <w:rsid w:val="00B858F4"/>
    <w:rsid w:val="00B86602"/>
    <w:rsid w:val="00B86633"/>
    <w:rsid w:val="00B86AC9"/>
    <w:rsid w:val="00B86E2C"/>
    <w:rsid w:val="00B87380"/>
    <w:rsid w:val="00B87433"/>
    <w:rsid w:val="00B8747E"/>
    <w:rsid w:val="00B8783B"/>
    <w:rsid w:val="00B8793A"/>
    <w:rsid w:val="00B87C0F"/>
    <w:rsid w:val="00B87E2E"/>
    <w:rsid w:val="00B87F21"/>
    <w:rsid w:val="00B906F4"/>
    <w:rsid w:val="00B9077D"/>
    <w:rsid w:val="00B90C10"/>
    <w:rsid w:val="00B90FFE"/>
    <w:rsid w:val="00B91B62"/>
    <w:rsid w:val="00B92590"/>
    <w:rsid w:val="00B92BD4"/>
    <w:rsid w:val="00B930B3"/>
    <w:rsid w:val="00B93426"/>
    <w:rsid w:val="00B9425B"/>
    <w:rsid w:val="00B948FF"/>
    <w:rsid w:val="00B962C6"/>
    <w:rsid w:val="00B966B4"/>
    <w:rsid w:val="00B9692B"/>
    <w:rsid w:val="00B96ED5"/>
    <w:rsid w:val="00B96FE1"/>
    <w:rsid w:val="00B9706A"/>
    <w:rsid w:val="00B97588"/>
    <w:rsid w:val="00B9784B"/>
    <w:rsid w:val="00B97897"/>
    <w:rsid w:val="00BA01C3"/>
    <w:rsid w:val="00BA0900"/>
    <w:rsid w:val="00BA0ACF"/>
    <w:rsid w:val="00BA0CE2"/>
    <w:rsid w:val="00BA1328"/>
    <w:rsid w:val="00BA1ACE"/>
    <w:rsid w:val="00BA20A8"/>
    <w:rsid w:val="00BA2120"/>
    <w:rsid w:val="00BA2B17"/>
    <w:rsid w:val="00BA31A7"/>
    <w:rsid w:val="00BA34BA"/>
    <w:rsid w:val="00BA4559"/>
    <w:rsid w:val="00BA455B"/>
    <w:rsid w:val="00BA4B25"/>
    <w:rsid w:val="00BA4B31"/>
    <w:rsid w:val="00BA4CE0"/>
    <w:rsid w:val="00BA5192"/>
    <w:rsid w:val="00BA531F"/>
    <w:rsid w:val="00BA5CB5"/>
    <w:rsid w:val="00BA5CFD"/>
    <w:rsid w:val="00BA66FC"/>
    <w:rsid w:val="00BA681F"/>
    <w:rsid w:val="00BA7E33"/>
    <w:rsid w:val="00BB0156"/>
    <w:rsid w:val="00BB0497"/>
    <w:rsid w:val="00BB0AC0"/>
    <w:rsid w:val="00BB0BD2"/>
    <w:rsid w:val="00BB10F1"/>
    <w:rsid w:val="00BB143B"/>
    <w:rsid w:val="00BB18A9"/>
    <w:rsid w:val="00BB1A7C"/>
    <w:rsid w:val="00BB2331"/>
    <w:rsid w:val="00BB23C7"/>
    <w:rsid w:val="00BB2406"/>
    <w:rsid w:val="00BB2604"/>
    <w:rsid w:val="00BB3335"/>
    <w:rsid w:val="00BB34BE"/>
    <w:rsid w:val="00BB3579"/>
    <w:rsid w:val="00BB3792"/>
    <w:rsid w:val="00BB39E3"/>
    <w:rsid w:val="00BB3CD4"/>
    <w:rsid w:val="00BB3CF5"/>
    <w:rsid w:val="00BB44C7"/>
    <w:rsid w:val="00BB4B0F"/>
    <w:rsid w:val="00BB4F58"/>
    <w:rsid w:val="00BB550B"/>
    <w:rsid w:val="00BB5C38"/>
    <w:rsid w:val="00BB5EAE"/>
    <w:rsid w:val="00BB6002"/>
    <w:rsid w:val="00BB60F7"/>
    <w:rsid w:val="00BB6B52"/>
    <w:rsid w:val="00BB6CF1"/>
    <w:rsid w:val="00BB6E1B"/>
    <w:rsid w:val="00BB7544"/>
    <w:rsid w:val="00BB7CC0"/>
    <w:rsid w:val="00BB7D7C"/>
    <w:rsid w:val="00BC02E7"/>
    <w:rsid w:val="00BC0A62"/>
    <w:rsid w:val="00BC157F"/>
    <w:rsid w:val="00BC1A40"/>
    <w:rsid w:val="00BC1FD3"/>
    <w:rsid w:val="00BC1FF8"/>
    <w:rsid w:val="00BC2138"/>
    <w:rsid w:val="00BC3F24"/>
    <w:rsid w:val="00BC43AF"/>
    <w:rsid w:val="00BC500F"/>
    <w:rsid w:val="00BC5105"/>
    <w:rsid w:val="00BC52E9"/>
    <w:rsid w:val="00BC5685"/>
    <w:rsid w:val="00BC5A5E"/>
    <w:rsid w:val="00BC6846"/>
    <w:rsid w:val="00BC6E45"/>
    <w:rsid w:val="00BC746C"/>
    <w:rsid w:val="00BC77BB"/>
    <w:rsid w:val="00BC797F"/>
    <w:rsid w:val="00BD0758"/>
    <w:rsid w:val="00BD0B5D"/>
    <w:rsid w:val="00BD128D"/>
    <w:rsid w:val="00BD1618"/>
    <w:rsid w:val="00BD16E3"/>
    <w:rsid w:val="00BD1D2D"/>
    <w:rsid w:val="00BD2084"/>
    <w:rsid w:val="00BD26B0"/>
    <w:rsid w:val="00BD29EC"/>
    <w:rsid w:val="00BD2B9F"/>
    <w:rsid w:val="00BD31FF"/>
    <w:rsid w:val="00BD33CE"/>
    <w:rsid w:val="00BD38D3"/>
    <w:rsid w:val="00BD3CAA"/>
    <w:rsid w:val="00BD4048"/>
    <w:rsid w:val="00BD46D8"/>
    <w:rsid w:val="00BD56DD"/>
    <w:rsid w:val="00BD5DB1"/>
    <w:rsid w:val="00BD5FE6"/>
    <w:rsid w:val="00BD62A0"/>
    <w:rsid w:val="00BD6453"/>
    <w:rsid w:val="00BD7C4A"/>
    <w:rsid w:val="00BD7F8E"/>
    <w:rsid w:val="00BE01D5"/>
    <w:rsid w:val="00BE0391"/>
    <w:rsid w:val="00BE05C7"/>
    <w:rsid w:val="00BE09BB"/>
    <w:rsid w:val="00BE0B91"/>
    <w:rsid w:val="00BE0E85"/>
    <w:rsid w:val="00BE144B"/>
    <w:rsid w:val="00BE15B3"/>
    <w:rsid w:val="00BE1CBF"/>
    <w:rsid w:val="00BE26AC"/>
    <w:rsid w:val="00BE2FDC"/>
    <w:rsid w:val="00BE32A7"/>
    <w:rsid w:val="00BE3305"/>
    <w:rsid w:val="00BE35C8"/>
    <w:rsid w:val="00BE3BA2"/>
    <w:rsid w:val="00BE3BC8"/>
    <w:rsid w:val="00BE3C5F"/>
    <w:rsid w:val="00BE3E8A"/>
    <w:rsid w:val="00BE5208"/>
    <w:rsid w:val="00BE55B4"/>
    <w:rsid w:val="00BE6385"/>
    <w:rsid w:val="00BE6440"/>
    <w:rsid w:val="00BE669B"/>
    <w:rsid w:val="00BE6A4F"/>
    <w:rsid w:val="00BE6F81"/>
    <w:rsid w:val="00BE758E"/>
    <w:rsid w:val="00BF075D"/>
    <w:rsid w:val="00BF0C29"/>
    <w:rsid w:val="00BF159F"/>
    <w:rsid w:val="00BF1A88"/>
    <w:rsid w:val="00BF1B12"/>
    <w:rsid w:val="00BF203A"/>
    <w:rsid w:val="00BF231A"/>
    <w:rsid w:val="00BF2383"/>
    <w:rsid w:val="00BF2E76"/>
    <w:rsid w:val="00BF334C"/>
    <w:rsid w:val="00BF3E5F"/>
    <w:rsid w:val="00BF4468"/>
    <w:rsid w:val="00BF541B"/>
    <w:rsid w:val="00BF54ED"/>
    <w:rsid w:val="00BF6DFF"/>
    <w:rsid w:val="00BF6E5B"/>
    <w:rsid w:val="00BF7849"/>
    <w:rsid w:val="00BF790D"/>
    <w:rsid w:val="00BF7A6F"/>
    <w:rsid w:val="00BF7CDE"/>
    <w:rsid w:val="00BF7F9D"/>
    <w:rsid w:val="00C00050"/>
    <w:rsid w:val="00C00549"/>
    <w:rsid w:val="00C00C5C"/>
    <w:rsid w:val="00C00FCB"/>
    <w:rsid w:val="00C0155E"/>
    <w:rsid w:val="00C015FB"/>
    <w:rsid w:val="00C01658"/>
    <w:rsid w:val="00C01874"/>
    <w:rsid w:val="00C01E9C"/>
    <w:rsid w:val="00C0385C"/>
    <w:rsid w:val="00C03C31"/>
    <w:rsid w:val="00C03C61"/>
    <w:rsid w:val="00C04099"/>
    <w:rsid w:val="00C04484"/>
    <w:rsid w:val="00C049E8"/>
    <w:rsid w:val="00C04A35"/>
    <w:rsid w:val="00C04A67"/>
    <w:rsid w:val="00C04B90"/>
    <w:rsid w:val="00C04CFB"/>
    <w:rsid w:val="00C05253"/>
    <w:rsid w:val="00C05665"/>
    <w:rsid w:val="00C0587C"/>
    <w:rsid w:val="00C05B4A"/>
    <w:rsid w:val="00C05E9F"/>
    <w:rsid w:val="00C060AC"/>
    <w:rsid w:val="00C061B3"/>
    <w:rsid w:val="00C06402"/>
    <w:rsid w:val="00C06487"/>
    <w:rsid w:val="00C06709"/>
    <w:rsid w:val="00C0685E"/>
    <w:rsid w:val="00C069F8"/>
    <w:rsid w:val="00C071D3"/>
    <w:rsid w:val="00C074DA"/>
    <w:rsid w:val="00C07B3E"/>
    <w:rsid w:val="00C07C01"/>
    <w:rsid w:val="00C1031F"/>
    <w:rsid w:val="00C10C48"/>
    <w:rsid w:val="00C10DA6"/>
    <w:rsid w:val="00C1111D"/>
    <w:rsid w:val="00C11744"/>
    <w:rsid w:val="00C119E8"/>
    <w:rsid w:val="00C11AC2"/>
    <w:rsid w:val="00C12A7C"/>
    <w:rsid w:val="00C136CF"/>
    <w:rsid w:val="00C137FE"/>
    <w:rsid w:val="00C13DAD"/>
    <w:rsid w:val="00C13E30"/>
    <w:rsid w:val="00C13FDD"/>
    <w:rsid w:val="00C14289"/>
    <w:rsid w:val="00C144FE"/>
    <w:rsid w:val="00C14553"/>
    <w:rsid w:val="00C157E9"/>
    <w:rsid w:val="00C15AAE"/>
    <w:rsid w:val="00C15D48"/>
    <w:rsid w:val="00C15E59"/>
    <w:rsid w:val="00C1618E"/>
    <w:rsid w:val="00C173AF"/>
    <w:rsid w:val="00C17AFC"/>
    <w:rsid w:val="00C17F35"/>
    <w:rsid w:val="00C17F4E"/>
    <w:rsid w:val="00C200FB"/>
    <w:rsid w:val="00C201F1"/>
    <w:rsid w:val="00C2032B"/>
    <w:rsid w:val="00C2060B"/>
    <w:rsid w:val="00C206A4"/>
    <w:rsid w:val="00C20801"/>
    <w:rsid w:val="00C20869"/>
    <w:rsid w:val="00C20BDC"/>
    <w:rsid w:val="00C20C80"/>
    <w:rsid w:val="00C20F15"/>
    <w:rsid w:val="00C21848"/>
    <w:rsid w:val="00C21874"/>
    <w:rsid w:val="00C21C9A"/>
    <w:rsid w:val="00C220D8"/>
    <w:rsid w:val="00C221B0"/>
    <w:rsid w:val="00C2232C"/>
    <w:rsid w:val="00C22703"/>
    <w:rsid w:val="00C231ED"/>
    <w:rsid w:val="00C23734"/>
    <w:rsid w:val="00C23883"/>
    <w:rsid w:val="00C23C44"/>
    <w:rsid w:val="00C23F30"/>
    <w:rsid w:val="00C24912"/>
    <w:rsid w:val="00C24CE9"/>
    <w:rsid w:val="00C24EC5"/>
    <w:rsid w:val="00C25225"/>
    <w:rsid w:val="00C253D2"/>
    <w:rsid w:val="00C262F5"/>
    <w:rsid w:val="00C2650C"/>
    <w:rsid w:val="00C269E6"/>
    <w:rsid w:val="00C26B46"/>
    <w:rsid w:val="00C26BBA"/>
    <w:rsid w:val="00C26F74"/>
    <w:rsid w:val="00C303BD"/>
    <w:rsid w:val="00C31230"/>
    <w:rsid w:val="00C31439"/>
    <w:rsid w:val="00C317B9"/>
    <w:rsid w:val="00C3180B"/>
    <w:rsid w:val="00C31A0C"/>
    <w:rsid w:val="00C31ADE"/>
    <w:rsid w:val="00C31CDD"/>
    <w:rsid w:val="00C34B18"/>
    <w:rsid w:val="00C3501C"/>
    <w:rsid w:val="00C35088"/>
    <w:rsid w:val="00C35672"/>
    <w:rsid w:val="00C36A8D"/>
    <w:rsid w:val="00C36BE1"/>
    <w:rsid w:val="00C36F67"/>
    <w:rsid w:val="00C37A6B"/>
    <w:rsid w:val="00C37D4F"/>
    <w:rsid w:val="00C4021F"/>
    <w:rsid w:val="00C40331"/>
    <w:rsid w:val="00C405AD"/>
    <w:rsid w:val="00C4076A"/>
    <w:rsid w:val="00C41581"/>
    <w:rsid w:val="00C42B3E"/>
    <w:rsid w:val="00C42C18"/>
    <w:rsid w:val="00C42CB3"/>
    <w:rsid w:val="00C43012"/>
    <w:rsid w:val="00C4323E"/>
    <w:rsid w:val="00C43692"/>
    <w:rsid w:val="00C43AA2"/>
    <w:rsid w:val="00C43C1D"/>
    <w:rsid w:val="00C43E15"/>
    <w:rsid w:val="00C446B2"/>
    <w:rsid w:val="00C44F5B"/>
    <w:rsid w:val="00C45264"/>
    <w:rsid w:val="00C45612"/>
    <w:rsid w:val="00C45BCF"/>
    <w:rsid w:val="00C45EE7"/>
    <w:rsid w:val="00C460C9"/>
    <w:rsid w:val="00C4611D"/>
    <w:rsid w:val="00C4694D"/>
    <w:rsid w:val="00C46A04"/>
    <w:rsid w:val="00C46B84"/>
    <w:rsid w:val="00C46C80"/>
    <w:rsid w:val="00C47287"/>
    <w:rsid w:val="00C474ED"/>
    <w:rsid w:val="00C47637"/>
    <w:rsid w:val="00C4786A"/>
    <w:rsid w:val="00C50154"/>
    <w:rsid w:val="00C50180"/>
    <w:rsid w:val="00C50CD2"/>
    <w:rsid w:val="00C51F8A"/>
    <w:rsid w:val="00C51FEE"/>
    <w:rsid w:val="00C520AC"/>
    <w:rsid w:val="00C5275B"/>
    <w:rsid w:val="00C52C77"/>
    <w:rsid w:val="00C52F3C"/>
    <w:rsid w:val="00C531BB"/>
    <w:rsid w:val="00C534D9"/>
    <w:rsid w:val="00C534EF"/>
    <w:rsid w:val="00C53870"/>
    <w:rsid w:val="00C53F05"/>
    <w:rsid w:val="00C54072"/>
    <w:rsid w:val="00C54396"/>
    <w:rsid w:val="00C54637"/>
    <w:rsid w:val="00C54675"/>
    <w:rsid w:val="00C54768"/>
    <w:rsid w:val="00C54BFF"/>
    <w:rsid w:val="00C54E74"/>
    <w:rsid w:val="00C55232"/>
    <w:rsid w:val="00C55FAA"/>
    <w:rsid w:val="00C56058"/>
    <w:rsid w:val="00C561C6"/>
    <w:rsid w:val="00C56614"/>
    <w:rsid w:val="00C56F19"/>
    <w:rsid w:val="00C572F6"/>
    <w:rsid w:val="00C57611"/>
    <w:rsid w:val="00C5781B"/>
    <w:rsid w:val="00C600E3"/>
    <w:rsid w:val="00C60227"/>
    <w:rsid w:val="00C604E5"/>
    <w:rsid w:val="00C60667"/>
    <w:rsid w:val="00C60B48"/>
    <w:rsid w:val="00C61898"/>
    <w:rsid w:val="00C61B46"/>
    <w:rsid w:val="00C61F62"/>
    <w:rsid w:val="00C623F0"/>
    <w:rsid w:val="00C623F6"/>
    <w:rsid w:val="00C63ABF"/>
    <w:rsid w:val="00C63F93"/>
    <w:rsid w:val="00C64379"/>
    <w:rsid w:val="00C64A04"/>
    <w:rsid w:val="00C66D66"/>
    <w:rsid w:val="00C676EC"/>
    <w:rsid w:val="00C67A29"/>
    <w:rsid w:val="00C67A39"/>
    <w:rsid w:val="00C71ADE"/>
    <w:rsid w:val="00C726C1"/>
    <w:rsid w:val="00C72856"/>
    <w:rsid w:val="00C73B21"/>
    <w:rsid w:val="00C743A9"/>
    <w:rsid w:val="00C7484F"/>
    <w:rsid w:val="00C74ABB"/>
    <w:rsid w:val="00C74D6C"/>
    <w:rsid w:val="00C7594F"/>
    <w:rsid w:val="00C76030"/>
    <w:rsid w:val="00C77072"/>
    <w:rsid w:val="00C77297"/>
    <w:rsid w:val="00C7789B"/>
    <w:rsid w:val="00C77BB4"/>
    <w:rsid w:val="00C77C25"/>
    <w:rsid w:val="00C77DC8"/>
    <w:rsid w:val="00C77E62"/>
    <w:rsid w:val="00C77FCA"/>
    <w:rsid w:val="00C80663"/>
    <w:rsid w:val="00C807EA"/>
    <w:rsid w:val="00C80BBF"/>
    <w:rsid w:val="00C80FC6"/>
    <w:rsid w:val="00C81D01"/>
    <w:rsid w:val="00C823E7"/>
    <w:rsid w:val="00C826DC"/>
    <w:rsid w:val="00C8300E"/>
    <w:rsid w:val="00C831A5"/>
    <w:rsid w:val="00C8393A"/>
    <w:rsid w:val="00C842DE"/>
    <w:rsid w:val="00C84991"/>
    <w:rsid w:val="00C849C0"/>
    <w:rsid w:val="00C84C7C"/>
    <w:rsid w:val="00C84F0F"/>
    <w:rsid w:val="00C85014"/>
    <w:rsid w:val="00C8508A"/>
    <w:rsid w:val="00C851B0"/>
    <w:rsid w:val="00C85353"/>
    <w:rsid w:val="00C85516"/>
    <w:rsid w:val="00C8591C"/>
    <w:rsid w:val="00C85E11"/>
    <w:rsid w:val="00C866DF"/>
    <w:rsid w:val="00C867E7"/>
    <w:rsid w:val="00C87B18"/>
    <w:rsid w:val="00C87E9A"/>
    <w:rsid w:val="00C90586"/>
    <w:rsid w:val="00C90637"/>
    <w:rsid w:val="00C90665"/>
    <w:rsid w:val="00C90795"/>
    <w:rsid w:val="00C910B2"/>
    <w:rsid w:val="00C91483"/>
    <w:rsid w:val="00C91C85"/>
    <w:rsid w:val="00C91F0E"/>
    <w:rsid w:val="00C91F5E"/>
    <w:rsid w:val="00C92C03"/>
    <w:rsid w:val="00C9382D"/>
    <w:rsid w:val="00C94446"/>
    <w:rsid w:val="00C94AFF"/>
    <w:rsid w:val="00C94B5C"/>
    <w:rsid w:val="00C94D6B"/>
    <w:rsid w:val="00C958FD"/>
    <w:rsid w:val="00C95CD9"/>
    <w:rsid w:val="00C971CF"/>
    <w:rsid w:val="00C97D23"/>
    <w:rsid w:val="00CA01F8"/>
    <w:rsid w:val="00CA1884"/>
    <w:rsid w:val="00CA1A1A"/>
    <w:rsid w:val="00CA2411"/>
    <w:rsid w:val="00CA2416"/>
    <w:rsid w:val="00CA2B2A"/>
    <w:rsid w:val="00CA2BC7"/>
    <w:rsid w:val="00CA2F49"/>
    <w:rsid w:val="00CA3892"/>
    <w:rsid w:val="00CA40EF"/>
    <w:rsid w:val="00CA42B0"/>
    <w:rsid w:val="00CA4DF9"/>
    <w:rsid w:val="00CA5D22"/>
    <w:rsid w:val="00CA6193"/>
    <w:rsid w:val="00CA6398"/>
    <w:rsid w:val="00CA6809"/>
    <w:rsid w:val="00CA68C4"/>
    <w:rsid w:val="00CA696D"/>
    <w:rsid w:val="00CA7426"/>
    <w:rsid w:val="00CA7E00"/>
    <w:rsid w:val="00CB0250"/>
    <w:rsid w:val="00CB0527"/>
    <w:rsid w:val="00CB05A8"/>
    <w:rsid w:val="00CB0B16"/>
    <w:rsid w:val="00CB1114"/>
    <w:rsid w:val="00CB1398"/>
    <w:rsid w:val="00CB1762"/>
    <w:rsid w:val="00CB19EF"/>
    <w:rsid w:val="00CB20F2"/>
    <w:rsid w:val="00CB28ED"/>
    <w:rsid w:val="00CB2AA6"/>
    <w:rsid w:val="00CB2BF6"/>
    <w:rsid w:val="00CB2FB2"/>
    <w:rsid w:val="00CB3229"/>
    <w:rsid w:val="00CB3D33"/>
    <w:rsid w:val="00CB4C7D"/>
    <w:rsid w:val="00CB5477"/>
    <w:rsid w:val="00CB5544"/>
    <w:rsid w:val="00CB5633"/>
    <w:rsid w:val="00CB5FDB"/>
    <w:rsid w:val="00CB658F"/>
    <w:rsid w:val="00CB6789"/>
    <w:rsid w:val="00CB68AE"/>
    <w:rsid w:val="00CB6CA1"/>
    <w:rsid w:val="00CB6D39"/>
    <w:rsid w:val="00CB6EBE"/>
    <w:rsid w:val="00CB6F3F"/>
    <w:rsid w:val="00CB7567"/>
    <w:rsid w:val="00CB763F"/>
    <w:rsid w:val="00CB7A17"/>
    <w:rsid w:val="00CB7FC9"/>
    <w:rsid w:val="00CC002C"/>
    <w:rsid w:val="00CC00C6"/>
    <w:rsid w:val="00CC0B8C"/>
    <w:rsid w:val="00CC0FBA"/>
    <w:rsid w:val="00CC1D0A"/>
    <w:rsid w:val="00CC242B"/>
    <w:rsid w:val="00CC254A"/>
    <w:rsid w:val="00CC2F24"/>
    <w:rsid w:val="00CC2FFA"/>
    <w:rsid w:val="00CC39DD"/>
    <w:rsid w:val="00CC3A0E"/>
    <w:rsid w:val="00CC3E0F"/>
    <w:rsid w:val="00CC4444"/>
    <w:rsid w:val="00CC4642"/>
    <w:rsid w:val="00CC478D"/>
    <w:rsid w:val="00CC512B"/>
    <w:rsid w:val="00CC5284"/>
    <w:rsid w:val="00CC5658"/>
    <w:rsid w:val="00CC5F70"/>
    <w:rsid w:val="00CC61F5"/>
    <w:rsid w:val="00CC6205"/>
    <w:rsid w:val="00CC6282"/>
    <w:rsid w:val="00CC7423"/>
    <w:rsid w:val="00CC7441"/>
    <w:rsid w:val="00CD0821"/>
    <w:rsid w:val="00CD109B"/>
    <w:rsid w:val="00CD165D"/>
    <w:rsid w:val="00CD18F8"/>
    <w:rsid w:val="00CD2323"/>
    <w:rsid w:val="00CD2DF9"/>
    <w:rsid w:val="00CD3002"/>
    <w:rsid w:val="00CD342F"/>
    <w:rsid w:val="00CD3456"/>
    <w:rsid w:val="00CD371D"/>
    <w:rsid w:val="00CD37F3"/>
    <w:rsid w:val="00CD4156"/>
    <w:rsid w:val="00CD4413"/>
    <w:rsid w:val="00CD5864"/>
    <w:rsid w:val="00CD592F"/>
    <w:rsid w:val="00CD5966"/>
    <w:rsid w:val="00CD5B84"/>
    <w:rsid w:val="00CD5D86"/>
    <w:rsid w:val="00CD627C"/>
    <w:rsid w:val="00CD634B"/>
    <w:rsid w:val="00CD64C1"/>
    <w:rsid w:val="00CD6572"/>
    <w:rsid w:val="00CD7ACD"/>
    <w:rsid w:val="00CE0154"/>
    <w:rsid w:val="00CE033A"/>
    <w:rsid w:val="00CE059B"/>
    <w:rsid w:val="00CE070E"/>
    <w:rsid w:val="00CE0C60"/>
    <w:rsid w:val="00CE18B9"/>
    <w:rsid w:val="00CE1999"/>
    <w:rsid w:val="00CE19DE"/>
    <w:rsid w:val="00CE1F23"/>
    <w:rsid w:val="00CE2454"/>
    <w:rsid w:val="00CE2C8B"/>
    <w:rsid w:val="00CE3B20"/>
    <w:rsid w:val="00CE3F25"/>
    <w:rsid w:val="00CE47A0"/>
    <w:rsid w:val="00CE4ED6"/>
    <w:rsid w:val="00CE5351"/>
    <w:rsid w:val="00CE6828"/>
    <w:rsid w:val="00CE7BBE"/>
    <w:rsid w:val="00CE7C5C"/>
    <w:rsid w:val="00CF035C"/>
    <w:rsid w:val="00CF0F0B"/>
    <w:rsid w:val="00CF120C"/>
    <w:rsid w:val="00CF1F37"/>
    <w:rsid w:val="00CF2024"/>
    <w:rsid w:val="00CF2284"/>
    <w:rsid w:val="00CF2522"/>
    <w:rsid w:val="00CF29B6"/>
    <w:rsid w:val="00CF2EFE"/>
    <w:rsid w:val="00CF30A6"/>
    <w:rsid w:val="00CF348B"/>
    <w:rsid w:val="00CF3698"/>
    <w:rsid w:val="00CF3DA6"/>
    <w:rsid w:val="00CF426E"/>
    <w:rsid w:val="00CF450A"/>
    <w:rsid w:val="00CF4624"/>
    <w:rsid w:val="00CF4966"/>
    <w:rsid w:val="00CF4CEC"/>
    <w:rsid w:val="00CF560D"/>
    <w:rsid w:val="00CF586F"/>
    <w:rsid w:val="00CF6007"/>
    <w:rsid w:val="00CF630C"/>
    <w:rsid w:val="00CF6548"/>
    <w:rsid w:val="00CF6694"/>
    <w:rsid w:val="00CF6DB0"/>
    <w:rsid w:val="00CF707C"/>
    <w:rsid w:val="00CF7876"/>
    <w:rsid w:val="00CF790B"/>
    <w:rsid w:val="00CF7C85"/>
    <w:rsid w:val="00CF7F41"/>
    <w:rsid w:val="00D0005F"/>
    <w:rsid w:val="00D0031B"/>
    <w:rsid w:val="00D0038D"/>
    <w:rsid w:val="00D003AE"/>
    <w:rsid w:val="00D00432"/>
    <w:rsid w:val="00D006C8"/>
    <w:rsid w:val="00D0176A"/>
    <w:rsid w:val="00D01C43"/>
    <w:rsid w:val="00D0248B"/>
    <w:rsid w:val="00D02759"/>
    <w:rsid w:val="00D02887"/>
    <w:rsid w:val="00D0298C"/>
    <w:rsid w:val="00D02A72"/>
    <w:rsid w:val="00D033A3"/>
    <w:rsid w:val="00D033F6"/>
    <w:rsid w:val="00D03A78"/>
    <w:rsid w:val="00D03C08"/>
    <w:rsid w:val="00D0478D"/>
    <w:rsid w:val="00D04AEF"/>
    <w:rsid w:val="00D0525D"/>
    <w:rsid w:val="00D052D2"/>
    <w:rsid w:val="00D0615A"/>
    <w:rsid w:val="00D06299"/>
    <w:rsid w:val="00D062A5"/>
    <w:rsid w:val="00D06D0A"/>
    <w:rsid w:val="00D06DF0"/>
    <w:rsid w:val="00D0756D"/>
    <w:rsid w:val="00D07DEC"/>
    <w:rsid w:val="00D10F7E"/>
    <w:rsid w:val="00D11796"/>
    <w:rsid w:val="00D11D81"/>
    <w:rsid w:val="00D11E6D"/>
    <w:rsid w:val="00D127D8"/>
    <w:rsid w:val="00D12B37"/>
    <w:rsid w:val="00D12DB3"/>
    <w:rsid w:val="00D12DDF"/>
    <w:rsid w:val="00D1316D"/>
    <w:rsid w:val="00D134D8"/>
    <w:rsid w:val="00D139D4"/>
    <w:rsid w:val="00D14B58"/>
    <w:rsid w:val="00D14C45"/>
    <w:rsid w:val="00D150EA"/>
    <w:rsid w:val="00D153FD"/>
    <w:rsid w:val="00D157C3"/>
    <w:rsid w:val="00D16BA8"/>
    <w:rsid w:val="00D16ECB"/>
    <w:rsid w:val="00D17277"/>
    <w:rsid w:val="00D17907"/>
    <w:rsid w:val="00D17C0A"/>
    <w:rsid w:val="00D20E9D"/>
    <w:rsid w:val="00D20F8C"/>
    <w:rsid w:val="00D20F9D"/>
    <w:rsid w:val="00D21444"/>
    <w:rsid w:val="00D21C16"/>
    <w:rsid w:val="00D21F41"/>
    <w:rsid w:val="00D22430"/>
    <w:rsid w:val="00D229B3"/>
    <w:rsid w:val="00D22DCA"/>
    <w:rsid w:val="00D23AC9"/>
    <w:rsid w:val="00D240A3"/>
    <w:rsid w:val="00D2423B"/>
    <w:rsid w:val="00D2466B"/>
    <w:rsid w:val="00D24C55"/>
    <w:rsid w:val="00D25081"/>
    <w:rsid w:val="00D25633"/>
    <w:rsid w:val="00D25AB6"/>
    <w:rsid w:val="00D25E58"/>
    <w:rsid w:val="00D26048"/>
    <w:rsid w:val="00D2624B"/>
    <w:rsid w:val="00D2642C"/>
    <w:rsid w:val="00D26512"/>
    <w:rsid w:val="00D26AB0"/>
    <w:rsid w:val="00D26C40"/>
    <w:rsid w:val="00D27527"/>
    <w:rsid w:val="00D2772F"/>
    <w:rsid w:val="00D303BA"/>
    <w:rsid w:val="00D306E7"/>
    <w:rsid w:val="00D30E1E"/>
    <w:rsid w:val="00D3126C"/>
    <w:rsid w:val="00D31457"/>
    <w:rsid w:val="00D31635"/>
    <w:rsid w:val="00D31C4E"/>
    <w:rsid w:val="00D3202F"/>
    <w:rsid w:val="00D321F8"/>
    <w:rsid w:val="00D323C1"/>
    <w:rsid w:val="00D32854"/>
    <w:rsid w:val="00D32B4C"/>
    <w:rsid w:val="00D32CD1"/>
    <w:rsid w:val="00D32E04"/>
    <w:rsid w:val="00D32F25"/>
    <w:rsid w:val="00D3335B"/>
    <w:rsid w:val="00D33AE0"/>
    <w:rsid w:val="00D33D72"/>
    <w:rsid w:val="00D33E7B"/>
    <w:rsid w:val="00D340AD"/>
    <w:rsid w:val="00D35023"/>
    <w:rsid w:val="00D358C2"/>
    <w:rsid w:val="00D358D0"/>
    <w:rsid w:val="00D36103"/>
    <w:rsid w:val="00D368D4"/>
    <w:rsid w:val="00D36D8F"/>
    <w:rsid w:val="00D37997"/>
    <w:rsid w:val="00D37A51"/>
    <w:rsid w:val="00D40DBA"/>
    <w:rsid w:val="00D414CA"/>
    <w:rsid w:val="00D4161F"/>
    <w:rsid w:val="00D41901"/>
    <w:rsid w:val="00D4197D"/>
    <w:rsid w:val="00D41CDC"/>
    <w:rsid w:val="00D41E16"/>
    <w:rsid w:val="00D41EB9"/>
    <w:rsid w:val="00D420EF"/>
    <w:rsid w:val="00D42C5B"/>
    <w:rsid w:val="00D431B1"/>
    <w:rsid w:val="00D43275"/>
    <w:rsid w:val="00D4375A"/>
    <w:rsid w:val="00D43D06"/>
    <w:rsid w:val="00D43E08"/>
    <w:rsid w:val="00D445E5"/>
    <w:rsid w:val="00D4469C"/>
    <w:rsid w:val="00D448F6"/>
    <w:rsid w:val="00D44F0B"/>
    <w:rsid w:val="00D4555C"/>
    <w:rsid w:val="00D45E31"/>
    <w:rsid w:val="00D46849"/>
    <w:rsid w:val="00D47D96"/>
    <w:rsid w:val="00D50422"/>
    <w:rsid w:val="00D5053F"/>
    <w:rsid w:val="00D50761"/>
    <w:rsid w:val="00D50C6C"/>
    <w:rsid w:val="00D51D7F"/>
    <w:rsid w:val="00D52137"/>
    <w:rsid w:val="00D524CC"/>
    <w:rsid w:val="00D53DBC"/>
    <w:rsid w:val="00D53FA0"/>
    <w:rsid w:val="00D54378"/>
    <w:rsid w:val="00D54A4F"/>
    <w:rsid w:val="00D54C92"/>
    <w:rsid w:val="00D54F08"/>
    <w:rsid w:val="00D55564"/>
    <w:rsid w:val="00D55B2B"/>
    <w:rsid w:val="00D56642"/>
    <w:rsid w:val="00D566FE"/>
    <w:rsid w:val="00D56A4C"/>
    <w:rsid w:val="00D574E1"/>
    <w:rsid w:val="00D574E4"/>
    <w:rsid w:val="00D57FF1"/>
    <w:rsid w:val="00D6001B"/>
    <w:rsid w:val="00D60439"/>
    <w:rsid w:val="00D6068D"/>
    <w:rsid w:val="00D6136C"/>
    <w:rsid w:val="00D6140D"/>
    <w:rsid w:val="00D614BF"/>
    <w:rsid w:val="00D629F0"/>
    <w:rsid w:val="00D62E53"/>
    <w:rsid w:val="00D63307"/>
    <w:rsid w:val="00D63C1C"/>
    <w:rsid w:val="00D643A0"/>
    <w:rsid w:val="00D6467D"/>
    <w:rsid w:val="00D65115"/>
    <w:rsid w:val="00D651FC"/>
    <w:rsid w:val="00D66069"/>
    <w:rsid w:val="00D678BD"/>
    <w:rsid w:val="00D704B6"/>
    <w:rsid w:val="00D711C2"/>
    <w:rsid w:val="00D7182C"/>
    <w:rsid w:val="00D71CF9"/>
    <w:rsid w:val="00D7250A"/>
    <w:rsid w:val="00D72545"/>
    <w:rsid w:val="00D72EE9"/>
    <w:rsid w:val="00D731B5"/>
    <w:rsid w:val="00D735E5"/>
    <w:rsid w:val="00D73DFC"/>
    <w:rsid w:val="00D740B3"/>
    <w:rsid w:val="00D74B46"/>
    <w:rsid w:val="00D7503A"/>
    <w:rsid w:val="00D7631D"/>
    <w:rsid w:val="00D76856"/>
    <w:rsid w:val="00D76A3D"/>
    <w:rsid w:val="00D76A8D"/>
    <w:rsid w:val="00D76AED"/>
    <w:rsid w:val="00D76B73"/>
    <w:rsid w:val="00D76CB1"/>
    <w:rsid w:val="00D76F47"/>
    <w:rsid w:val="00D76FA1"/>
    <w:rsid w:val="00D77271"/>
    <w:rsid w:val="00D80638"/>
    <w:rsid w:val="00D807E0"/>
    <w:rsid w:val="00D8123B"/>
    <w:rsid w:val="00D81262"/>
    <w:rsid w:val="00D816FF"/>
    <w:rsid w:val="00D81F09"/>
    <w:rsid w:val="00D81FA0"/>
    <w:rsid w:val="00D82DAC"/>
    <w:rsid w:val="00D82F36"/>
    <w:rsid w:val="00D83514"/>
    <w:rsid w:val="00D837A2"/>
    <w:rsid w:val="00D83A83"/>
    <w:rsid w:val="00D840BF"/>
    <w:rsid w:val="00D840C0"/>
    <w:rsid w:val="00D84267"/>
    <w:rsid w:val="00D843C9"/>
    <w:rsid w:val="00D84D39"/>
    <w:rsid w:val="00D85083"/>
    <w:rsid w:val="00D8550C"/>
    <w:rsid w:val="00D85535"/>
    <w:rsid w:val="00D85881"/>
    <w:rsid w:val="00D859C6"/>
    <w:rsid w:val="00D85A4D"/>
    <w:rsid w:val="00D85DF4"/>
    <w:rsid w:val="00D8694A"/>
    <w:rsid w:val="00D86E63"/>
    <w:rsid w:val="00D87398"/>
    <w:rsid w:val="00D873E6"/>
    <w:rsid w:val="00D87B47"/>
    <w:rsid w:val="00D9030B"/>
    <w:rsid w:val="00D90694"/>
    <w:rsid w:val="00D908F6"/>
    <w:rsid w:val="00D90D47"/>
    <w:rsid w:val="00D910D3"/>
    <w:rsid w:val="00D912FD"/>
    <w:rsid w:val="00D91589"/>
    <w:rsid w:val="00D91C17"/>
    <w:rsid w:val="00D921B1"/>
    <w:rsid w:val="00D936FC"/>
    <w:rsid w:val="00D93F1C"/>
    <w:rsid w:val="00D94CE1"/>
    <w:rsid w:val="00D950A2"/>
    <w:rsid w:val="00D9595B"/>
    <w:rsid w:val="00D95CEB"/>
    <w:rsid w:val="00D9604A"/>
    <w:rsid w:val="00D964BF"/>
    <w:rsid w:val="00D96675"/>
    <w:rsid w:val="00D97356"/>
    <w:rsid w:val="00D97478"/>
    <w:rsid w:val="00DA152A"/>
    <w:rsid w:val="00DA1EB5"/>
    <w:rsid w:val="00DA25A6"/>
    <w:rsid w:val="00DA25A8"/>
    <w:rsid w:val="00DA27FB"/>
    <w:rsid w:val="00DA316F"/>
    <w:rsid w:val="00DA3AAC"/>
    <w:rsid w:val="00DA3F50"/>
    <w:rsid w:val="00DA3FBC"/>
    <w:rsid w:val="00DA404A"/>
    <w:rsid w:val="00DA4145"/>
    <w:rsid w:val="00DA4350"/>
    <w:rsid w:val="00DA4682"/>
    <w:rsid w:val="00DA51C9"/>
    <w:rsid w:val="00DA5C61"/>
    <w:rsid w:val="00DA5F00"/>
    <w:rsid w:val="00DA6374"/>
    <w:rsid w:val="00DB01C7"/>
    <w:rsid w:val="00DB06B0"/>
    <w:rsid w:val="00DB08FC"/>
    <w:rsid w:val="00DB0A06"/>
    <w:rsid w:val="00DB0A2E"/>
    <w:rsid w:val="00DB0CBC"/>
    <w:rsid w:val="00DB0DC0"/>
    <w:rsid w:val="00DB0F11"/>
    <w:rsid w:val="00DB10A7"/>
    <w:rsid w:val="00DB18D7"/>
    <w:rsid w:val="00DB1977"/>
    <w:rsid w:val="00DB1B08"/>
    <w:rsid w:val="00DB224A"/>
    <w:rsid w:val="00DB229C"/>
    <w:rsid w:val="00DB25B4"/>
    <w:rsid w:val="00DB28B1"/>
    <w:rsid w:val="00DB28DA"/>
    <w:rsid w:val="00DB2AAB"/>
    <w:rsid w:val="00DB2B81"/>
    <w:rsid w:val="00DB30CA"/>
    <w:rsid w:val="00DB3AC2"/>
    <w:rsid w:val="00DB4387"/>
    <w:rsid w:val="00DB4770"/>
    <w:rsid w:val="00DB4833"/>
    <w:rsid w:val="00DB4C1A"/>
    <w:rsid w:val="00DB4DE9"/>
    <w:rsid w:val="00DB626D"/>
    <w:rsid w:val="00DB652D"/>
    <w:rsid w:val="00DB6B5F"/>
    <w:rsid w:val="00DB6E15"/>
    <w:rsid w:val="00DB7D16"/>
    <w:rsid w:val="00DB7ECD"/>
    <w:rsid w:val="00DC09FF"/>
    <w:rsid w:val="00DC0D45"/>
    <w:rsid w:val="00DC0E37"/>
    <w:rsid w:val="00DC104A"/>
    <w:rsid w:val="00DC10A1"/>
    <w:rsid w:val="00DC13B5"/>
    <w:rsid w:val="00DC1C4B"/>
    <w:rsid w:val="00DC1C55"/>
    <w:rsid w:val="00DC1FA4"/>
    <w:rsid w:val="00DC201A"/>
    <w:rsid w:val="00DC23E4"/>
    <w:rsid w:val="00DC2BE3"/>
    <w:rsid w:val="00DC2C18"/>
    <w:rsid w:val="00DC2FA4"/>
    <w:rsid w:val="00DC325E"/>
    <w:rsid w:val="00DC341B"/>
    <w:rsid w:val="00DC3510"/>
    <w:rsid w:val="00DC4301"/>
    <w:rsid w:val="00DC5740"/>
    <w:rsid w:val="00DC5BC3"/>
    <w:rsid w:val="00DC5F37"/>
    <w:rsid w:val="00DC621F"/>
    <w:rsid w:val="00DC6EAB"/>
    <w:rsid w:val="00DC7306"/>
    <w:rsid w:val="00DC733C"/>
    <w:rsid w:val="00DD0AA7"/>
    <w:rsid w:val="00DD13C2"/>
    <w:rsid w:val="00DD169C"/>
    <w:rsid w:val="00DD23C4"/>
    <w:rsid w:val="00DD32E6"/>
    <w:rsid w:val="00DD355E"/>
    <w:rsid w:val="00DD3818"/>
    <w:rsid w:val="00DD39A4"/>
    <w:rsid w:val="00DD3F94"/>
    <w:rsid w:val="00DD5897"/>
    <w:rsid w:val="00DD5CA8"/>
    <w:rsid w:val="00DD5D22"/>
    <w:rsid w:val="00DD6CA5"/>
    <w:rsid w:val="00DD7120"/>
    <w:rsid w:val="00DD755A"/>
    <w:rsid w:val="00DD77AD"/>
    <w:rsid w:val="00DE06AC"/>
    <w:rsid w:val="00DE0725"/>
    <w:rsid w:val="00DE09EF"/>
    <w:rsid w:val="00DE0A50"/>
    <w:rsid w:val="00DE0BC8"/>
    <w:rsid w:val="00DE1322"/>
    <w:rsid w:val="00DE174E"/>
    <w:rsid w:val="00DE1978"/>
    <w:rsid w:val="00DE1AE3"/>
    <w:rsid w:val="00DE1CE4"/>
    <w:rsid w:val="00DE2616"/>
    <w:rsid w:val="00DE2663"/>
    <w:rsid w:val="00DE2AA4"/>
    <w:rsid w:val="00DE35B5"/>
    <w:rsid w:val="00DE384F"/>
    <w:rsid w:val="00DE3AFE"/>
    <w:rsid w:val="00DE3F23"/>
    <w:rsid w:val="00DE3F54"/>
    <w:rsid w:val="00DE421B"/>
    <w:rsid w:val="00DE4628"/>
    <w:rsid w:val="00DE46D7"/>
    <w:rsid w:val="00DE54DE"/>
    <w:rsid w:val="00DE59E0"/>
    <w:rsid w:val="00DE5C60"/>
    <w:rsid w:val="00DE67D1"/>
    <w:rsid w:val="00DE6F19"/>
    <w:rsid w:val="00DE6FC0"/>
    <w:rsid w:val="00DE774A"/>
    <w:rsid w:val="00DE783B"/>
    <w:rsid w:val="00DE7BCE"/>
    <w:rsid w:val="00DE7DFF"/>
    <w:rsid w:val="00DF15D2"/>
    <w:rsid w:val="00DF1DF8"/>
    <w:rsid w:val="00DF2005"/>
    <w:rsid w:val="00DF2A05"/>
    <w:rsid w:val="00DF2DF7"/>
    <w:rsid w:val="00DF374C"/>
    <w:rsid w:val="00DF3822"/>
    <w:rsid w:val="00DF3A93"/>
    <w:rsid w:val="00DF3D7C"/>
    <w:rsid w:val="00DF43E1"/>
    <w:rsid w:val="00DF47AE"/>
    <w:rsid w:val="00DF4B7C"/>
    <w:rsid w:val="00DF528B"/>
    <w:rsid w:val="00DF54FB"/>
    <w:rsid w:val="00DF6500"/>
    <w:rsid w:val="00DF6D93"/>
    <w:rsid w:val="00DF7B96"/>
    <w:rsid w:val="00E00C33"/>
    <w:rsid w:val="00E00DB4"/>
    <w:rsid w:val="00E00FB2"/>
    <w:rsid w:val="00E0103E"/>
    <w:rsid w:val="00E01707"/>
    <w:rsid w:val="00E01A18"/>
    <w:rsid w:val="00E01AD3"/>
    <w:rsid w:val="00E01EB6"/>
    <w:rsid w:val="00E02CAF"/>
    <w:rsid w:val="00E03411"/>
    <w:rsid w:val="00E036B8"/>
    <w:rsid w:val="00E03E7B"/>
    <w:rsid w:val="00E046D7"/>
    <w:rsid w:val="00E04A18"/>
    <w:rsid w:val="00E05783"/>
    <w:rsid w:val="00E05DF4"/>
    <w:rsid w:val="00E06035"/>
    <w:rsid w:val="00E0632B"/>
    <w:rsid w:val="00E065BE"/>
    <w:rsid w:val="00E07324"/>
    <w:rsid w:val="00E07883"/>
    <w:rsid w:val="00E079B1"/>
    <w:rsid w:val="00E104D8"/>
    <w:rsid w:val="00E106C3"/>
    <w:rsid w:val="00E10825"/>
    <w:rsid w:val="00E10D56"/>
    <w:rsid w:val="00E110F3"/>
    <w:rsid w:val="00E11C13"/>
    <w:rsid w:val="00E11D7B"/>
    <w:rsid w:val="00E12190"/>
    <w:rsid w:val="00E12B2A"/>
    <w:rsid w:val="00E12DBF"/>
    <w:rsid w:val="00E12E6C"/>
    <w:rsid w:val="00E132A2"/>
    <w:rsid w:val="00E13557"/>
    <w:rsid w:val="00E13C38"/>
    <w:rsid w:val="00E13CCD"/>
    <w:rsid w:val="00E14401"/>
    <w:rsid w:val="00E14856"/>
    <w:rsid w:val="00E14A71"/>
    <w:rsid w:val="00E157DA"/>
    <w:rsid w:val="00E167B1"/>
    <w:rsid w:val="00E175F3"/>
    <w:rsid w:val="00E17DD5"/>
    <w:rsid w:val="00E17E2E"/>
    <w:rsid w:val="00E17E76"/>
    <w:rsid w:val="00E2013E"/>
    <w:rsid w:val="00E20D17"/>
    <w:rsid w:val="00E20D84"/>
    <w:rsid w:val="00E20E20"/>
    <w:rsid w:val="00E214B8"/>
    <w:rsid w:val="00E21C8B"/>
    <w:rsid w:val="00E221D3"/>
    <w:rsid w:val="00E225F6"/>
    <w:rsid w:val="00E228FD"/>
    <w:rsid w:val="00E23618"/>
    <w:rsid w:val="00E23F40"/>
    <w:rsid w:val="00E24E88"/>
    <w:rsid w:val="00E24FA9"/>
    <w:rsid w:val="00E2524E"/>
    <w:rsid w:val="00E2531B"/>
    <w:rsid w:val="00E253D8"/>
    <w:rsid w:val="00E26FFD"/>
    <w:rsid w:val="00E27699"/>
    <w:rsid w:val="00E30C3F"/>
    <w:rsid w:val="00E30E94"/>
    <w:rsid w:val="00E30FC9"/>
    <w:rsid w:val="00E312A1"/>
    <w:rsid w:val="00E3145D"/>
    <w:rsid w:val="00E321B0"/>
    <w:rsid w:val="00E32250"/>
    <w:rsid w:val="00E32330"/>
    <w:rsid w:val="00E3279B"/>
    <w:rsid w:val="00E328DC"/>
    <w:rsid w:val="00E32A53"/>
    <w:rsid w:val="00E32DDC"/>
    <w:rsid w:val="00E32E72"/>
    <w:rsid w:val="00E3395D"/>
    <w:rsid w:val="00E33B91"/>
    <w:rsid w:val="00E33E82"/>
    <w:rsid w:val="00E3476A"/>
    <w:rsid w:val="00E348D1"/>
    <w:rsid w:val="00E36A17"/>
    <w:rsid w:val="00E36EA6"/>
    <w:rsid w:val="00E37044"/>
    <w:rsid w:val="00E374B9"/>
    <w:rsid w:val="00E401DF"/>
    <w:rsid w:val="00E40353"/>
    <w:rsid w:val="00E4081D"/>
    <w:rsid w:val="00E40892"/>
    <w:rsid w:val="00E409AF"/>
    <w:rsid w:val="00E40DDC"/>
    <w:rsid w:val="00E40F0B"/>
    <w:rsid w:val="00E41BAF"/>
    <w:rsid w:val="00E41F59"/>
    <w:rsid w:val="00E423AF"/>
    <w:rsid w:val="00E42A8A"/>
    <w:rsid w:val="00E433BC"/>
    <w:rsid w:val="00E436B3"/>
    <w:rsid w:val="00E43AF7"/>
    <w:rsid w:val="00E44388"/>
    <w:rsid w:val="00E452F0"/>
    <w:rsid w:val="00E4581B"/>
    <w:rsid w:val="00E45CAC"/>
    <w:rsid w:val="00E45FEC"/>
    <w:rsid w:val="00E462DB"/>
    <w:rsid w:val="00E4685B"/>
    <w:rsid w:val="00E468C1"/>
    <w:rsid w:val="00E46CCD"/>
    <w:rsid w:val="00E46FC6"/>
    <w:rsid w:val="00E47480"/>
    <w:rsid w:val="00E47874"/>
    <w:rsid w:val="00E47E84"/>
    <w:rsid w:val="00E50002"/>
    <w:rsid w:val="00E50577"/>
    <w:rsid w:val="00E508BD"/>
    <w:rsid w:val="00E50A62"/>
    <w:rsid w:val="00E5127F"/>
    <w:rsid w:val="00E51702"/>
    <w:rsid w:val="00E51A4F"/>
    <w:rsid w:val="00E51E87"/>
    <w:rsid w:val="00E531B4"/>
    <w:rsid w:val="00E538E6"/>
    <w:rsid w:val="00E53988"/>
    <w:rsid w:val="00E53AF0"/>
    <w:rsid w:val="00E53F3F"/>
    <w:rsid w:val="00E54561"/>
    <w:rsid w:val="00E54A17"/>
    <w:rsid w:val="00E557B1"/>
    <w:rsid w:val="00E55923"/>
    <w:rsid w:val="00E5598C"/>
    <w:rsid w:val="00E55996"/>
    <w:rsid w:val="00E55D6A"/>
    <w:rsid w:val="00E55E27"/>
    <w:rsid w:val="00E55F61"/>
    <w:rsid w:val="00E561F7"/>
    <w:rsid w:val="00E56657"/>
    <w:rsid w:val="00E56904"/>
    <w:rsid w:val="00E56AB2"/>
    <w:rsid w:val="00E56C85"/>
    <w:rsid w:val="00E56D84"/>
    <w:rsid w:val="00E56DB6"/>
    <w:rsid w:val="00E57870"/>
    <w:rsid w:val="00E6041E"/>
    <w:rsid w:val="00E607AC"/>
    <w:rsid w:val="00E6098F"/>
    <w:rsid w:val="00E60DE7"/>
    <w:rsid w:val="00E611FE"/>
    <w:rsid w:val="00E6190C"/>
    <w:rsid w:val="00E61A9D"/>
    <w:rsid w:val="00E61EE6"/>
    <w:rsid w:val="00E6213E"/>
    <w:rsid w:val="00E6286C"/>
    <w:rsid w:val="00E63206"/>
    <w:rsid w:val="00E63725"/>
    <w:rsid w:val="00E6391B"/>
    <w:rsid w:val="00E63AD0"/>
    <w:rsid w:val="00E63DC4"/>
    <w:rsid w:val="00E63FE4"/>
    <w:rsid w:val="00E645A5"/>
    <w:rsid w:val="00E64B37"/>
    <w:rsid w:val="00E65018"/>
    <w:rsid w:val="00E656FC"/>
    <w:rsid w:val="00E65703"/>
    <w:rsid w:val="00E65B36"/>
    <w:rsid w:val="00E66102"/>
    <w:rsid w:val="00E66219"/>
    <w:rsid w:val="00E66AD5"/>
    <w:rsid w:val="00E66DD7"/>
    <w:rsid w:val="00E66F97"/>
    <w:rsid w:val="00E6720B"/>
    <w:rsid w:val="00E6793C"/>
    <w:rsid w:val="00E67FE5"/>
    <w:rsid w:val="00E70138"/>
    <w:rsid w:val="00E70230"/>
    <w:rsid w:val="00E706BE"/>
    <w:rsid w:val="00E70C7A"/>
    <w:rsid w:val="00E710A1"/>
    <w:rsid w:val="00E713AF"/>
    <w:rsid w:val="00E715E5"/>
    <w:rsid w:val="00E73981"/>
    <w:rsid w:val="00E73986"/>
    <w:rsid w:val="00E73A7E"/>
    <w:rsid w:val="00E74E7F"/>
    <w:rsid w:val="00E75284"/>
    <w:rsid w:val="00E7548A"/>
    <w:rsid w:val="00E76384"/>
    <w:rsid w:val="00E765C0"/>
    <w:rsid w:val="00E76B5F"/>
    <w:rsid w:val="00E77061"/>
    <w:rsid w:val="00E77C12"/>
    <w:rsid w:val="00E77CAD"/>
    <w:rsid w:val="00E77D55"/>
    <w:rsid w:val="00E8056D"/>
    <w:rsid w:val="00E80E70"/>
    <w:rsid w:val="00E815A3"/>
    <w:rsid w:val="00E81638"/>
    <w:rsid w:val="00E81D7E"/>
    <w:rsid w:val="00E820CC"/>
    <w:rsid w:val="00E821ED"/>
    <w:rsid w:val="00E822F8"/>
    <w:rsid w:val="00E8235D"/>
    <w:rsid w:val="00E82A72"/>
    <w:rsid w:val="00E836D8"/>
    <w:rsid w:val="00E837A2"/>
    <w:rsid w:val="00E83874"/>
    <w:rsid w:val="00E84354"/>
    <w:rsid w:val="00E844DB"/>
    <w:rsid w:val="00E847F3"/>
    <w:rsid w:val="00E847F8"/>
    <w:rsid w:val="00E84DA7"/>
    <w:rsid w:val="00E85B8E"/>
    <w:rsid w:val="00E86141"/>
    <w:rsid w:val="00E863E9"/>
    <w:rsid w:val="00E8658F"/>
    <w:rsid w:val="00E86659"/>
    <w:rsid w:val="00E86B83"/>
    <w:rsid w:val="00E87099"/>
    <w:rsid w:val="00E9026B"/>
    <w:rsid w:val="00E90D53"/>
    <w:rsid w:val="00E90D85"/>
    <w:rsid w:val="00E913FD"/>
    <w:rsid w:val="00E91AEB"/>
    <w:rsid w:val="00E91FC5"/>
    <w:rsid w:val="00E9206A"/>
    <w:rsid w:val="00E92582"/>
    <w:rsid w:val="00E92776"/>
    <w:rsid w:val="00E92AD1"/>
    <w:rsid w:val="00E92ADF"/>
    <w:rsid w:val="00E92EA6"/>
    <w:rsid w:val="00E93325"/>
    <w:rsid w:val="00E9410F"/>
    <w:rsid w:val="00E941FC"/>
    <w:rsid w:val="00E94CE8"/>
    <w:rsid w:val="00E95E62"/>
    <w:rsid w:val="00E962B4"/>
    <w:rsid w:val="00E963E9"/>
    <w:rsid w:val="00E964F5"/>
    <w:rsid w:val="00E9723D"/>
    <w:rsid w:val="00E976C6"/>
    <w:rsid w:val="00E97801"/>
    <w:rsid w:val="00E97E7F"/>
    <w:rsid w:val="00EA0459"/>
    <w:rsid w:val="00EA1022"/>
    <w:rsid w:val="00EA18D0"/>
    <w:rsid w:val="00EA19E1"/>
    <w:rsid w:val="00EA24B5"/>
    <w:rsid w:val="00EA2535"/>
    <w:rsid w:val="00EA259C"/>
    <w:rsid w:val="00EA26AB"/>
    <w:rsid w:val="00EA2FA2"/>
    <w:rsid w:val="00EA317F"/>
    <w:rsid w:val="00EA3AB5"/>
    <w:rsid w:val="00EA4089"/>
    <w:rsid w:val="00EA4142"/>
    <w:rsid w:val="00EA453B"/>
    <w:rsid w:val="00EA4563"/>
    <w:rsid w:val="00EA457E"/>
    <w:rsid w:val="00EA52B1"/>
    <w:rsid w:val="00EA54B6"/>
    <w:rsid w:val="00EA59C2"/>
    <w:rsid w:val="00EA64A3"/>
    <w:rsid w:val="00EA6567"/>
    <w:rsid w:val="00EA66D2"/>
    <w:rsid w:val="00EA68F6"/>
    <w:rsid w:val="00EA6A98"/>
    <w:rsid w:val="00EA6B3C"/>
    <w:rsid w:val="00EA7FC4"/>
    <w:rsid w:val="00EA7FFD"/>
    <w:rsid w:val="00EB0F55"/>
    <w:rsid w:val="00EB1BF3"/>
    <w:rsid w:val="00EB1EE0"/>
    <w:rsid w:val="00EB2042"/>
    <w:rsid w:val="00EB378B"/>
    <w:rsid w:val="00EB3F8C"/>
    <w:rsid w:val="00EB4567"/>
    <w:rsid w:val="00EB4740"/>
    <w:rsid w:val="00EB491A"/>
    <w:rsid w:val="00EB4BC7"/>
    <w:rsid w:val="00EB51D9"/>
    <w:rsid w:val="00EB5913"/>
    <w:rsid w:val="00EB6A5D"/>
    <w:rsid w:val="00EB6B07"/>
    <w:rsid w:val="00EB6D4B"/>
    <w:rsid w:val="00EB7805"/>
    <w:rsid w:val="00EB7831"/>
    <w:rsid w:val="00EB7B36"/>
    <w:rsid w:val="00EC0054"/>
    <w:rsid w:val="00EC0086"/>
    <w:rsid w:val="00EC06BE"/>
    <w:rsid w:val="00EC08E3"/>
    <w:rsid w:val="00EC098B"/>
    <w:rsid w:val="00EC1B94"/>
    <w:rsid w:val="00EC1DDD"/>
    <w:rsid w:val="00EC22E5"/>
    <w:rsid w:val="00EC23B7"/>
    <w:rsid w:val="00EC2649"/>
    <w:rsid w:val="00EC2823"/>
    <w:rsid w:val="00EC29BB"/>
    <w:rsid w:val="00EC2D4E"/>
    <w:rsid w:val="00EC33E2"/>
    <w:rsid w:val="00EC3B57"/>
    <w:rsid w:val="00EC4243"/>
    <w:rsid w:val="00EC42FC"/>
    <w:rsid w:val="00EC4A9D"/>
    <w:rsid w:val="00EC4C76"/>
    <w:rsid w:val="00EC4E5E"/>
    <w:rsid w:val="00EC5118"/>
    <w:rsid w:val="00EC6236"/>
    <w:rsid w:val="00EC6303"/>
    <w:rsid w:val="00EC6388"/>
    <w:rsid w:val="00EC65DD"/>
    <w:rsid w:val="00EC733C"/>
    <w:rsid w:val="00EC7712"/>
    <w:rsid w:val="00EC77CA"/>
    <w:rsid w:val="00EC7B1A"/>
    <w:rsid w:val="00EC7FFA"/>
    <w:rsid w:val="00ED0AB1"/>
    <w:rsid w:val="00ED0F58"/>
    <w:rsid w:val="00ED14BE"/>
    <w:rsid w:val="00ED1DD4"/>
    <w:rsid w:val="00ED1E90"/>
    <w:rsid w:val="00ED2A8C"/>
    <w:rsid w:val="00ED2C38"/>
    <w:rsid w:val="00ED2CDF"/>
    <w:rsid w:val="00ED3385"/>
    <w:rsid w:val="00ED4952"/>
    <w:rsid w:val="00ED5C4C"/>
    <w:rsid w:val="00ED5E61"/>
    <w:rsid w:val="00ED6020"/>
    <w:rsid w:val="00ED60BC"/>
    <w:rsid w:val="00ED6188"/>
    <w:rsid w:val="00ED65FE"/>
    <w:rsid w:val="00ED67EC"/>
    <w:rsid w:val="00ED6874"/>
    <w:rsid w:val="00ED6C57"/>
    <w:rsid w:val="00ED7718"/>
    <w:rsid w:val="00ED785C"/>
    <w:rsid w:val="00EE0619"/>
    <w:rsid w:val="00EE08F9"/>
    <w:rsid w:val="00EE1988"/>
    <w:rsid w:val="00EE2447"/>
    <w:rsid w:val="00EE24C2"/>
    <w:rsid w:val="00EE2C69"/>
    <w:rsid w:val="00EE2D00"/>
    <w:rsid w:val="00EE3519"/>
    <w:rsid w:val="00EE3F5B"/>
    <w:rsid w:val="00EE4665"/>
    <w:rsid w:val="00EE47B1"/>
    <w:rsid w:val="00EE5054"/>
    <w:rsid w:val="00EE52D3"/>
    <w:rsid w:val="00EE5480"/>
    <w:rsid w:val="00EE60B2"/>
    <w:rsid w:val="00EE67B3"/>
    <w:rsid w:val="00EE67F9"/>
    <w:rsid w:val="00EE69DD"/>
    <w:rsid w:val="00EE6D64"/>
    <w:rsid w:val="00EE77F4"/>
    <w:rsid w:val="00EF02D7"/>
    <w:rsid w:val="00EF0A19"/>
    <w:rsid w:val="00EF0BA6"/>
    <w:rsid w:val="00EF1742"/>
    <w:rsid w:val="00EF1F00"/>
    <w:rsid w:val="00EF1FB8"/>
    <w:rsid w:val="00EF2463"/>
    <w:rsid w:val="00EF2BAD"/>
    <w:rsid w:val="00EF2DB0"/>
    <w:rsid w:val="00EF2FF8"/>
    <w:rsid w:val="00EF315B"/>
    <w:rsid w:val="00EF3985"/>
    <w:rsid w:val="00EF4238"/>
    <w:rsid w:val="00EF4CDB"/>
    <w:rsid w:val="00EF500B"/>
    <w:rsid w:val="00EF546E"/>
    <w:rsid w:val="00EF54D0"/>
    <w:rsid w:val="00EF58FC"/>
    <w:rsid w:val="00EF5C9F"/>
    <w:rsid w:val="00EF7EE4"/>
    <w:rsid w:val="00F000E5"/>
    <w:rsid w:val="00F003E5"/>
    <w:rsid w:val="00F007A7"/>
    <w:rsid w:val="00F0095A"/>
    <w:rsid w:val="00F0105F"/>
    <w:rsid w:val="00F01CE9"/>
    <w:rsid w:val="00F0208E"/>
    <w:rsid w:val="00F02A67"/>
    <w:rsid w:val="00F03D2D"/>
    <w:rsid w:val="00F0436B"/>
    <w:rsid w:val="00F057F3"/>
    <w:rsid w:val="00F05E8C"/>
    <w:rsid w:val="00F05E92"/>
    <w:rsid w:val="00F0605C"/>
    <w:rsid w:val="00F060CC"/>
    <w:rsid w:val="00F06596"/>
    <w:rsid w:val="00F06AA3"/>
    <w:rsid w:val="00F06E36"/>
    <w:rsid w:val="00F073DC"/>
    <w:rsid w:val="00F0765C"/>
    <w:rsid w:val="00F0793F"/>
    <w:rsid w:val="00F07E16"/>
    <w:rsid w:val="00F10AFC"/>
    <w:rsid w:val="00F11089"/>
    <w:rsid w:val="00F11A80"/>
    <w:rsid w:val="00F11B60"/>
    <w:rsid w:val="00F11BFA"/>
    <w:rsid w:val="00F11CF7"/>
    <w:rsid w:val="00F1245F"/>
    <w:rsid w:val="00F12CCA"/>
    <w:rsid w:val="00F12E6C"/>
    <w:rsid w:val="00F13406"/>
    <w:rsid w:val="00F13A20"/>
    <w:rsid w:val="00F13BD0"/>
    <w:rsid w:val="00F13F7F"/>
    <w:rsid w:val="00F1467F"/>
    <w:rsid w:val="00F14DD0"/>
    <w:rsid w:val="00F14E02"/>
    <w:rsid w:val="00F14E48"/>
    <w:rsid w:val="00F14F3B"/>
    <w:rsid w:val="00F150C9"/>
    <w:rsid w:val="00F152CF"/>
    <w:rsid w:val="00F15A5C"/>
    <w:rsid w:val="00F15CE0"/>
    <w:rsid w:val="00F15FCE"/>
    <w:rsid w:val="00F163EE"/>
    <w:rsid w:val="00F16563"/>
    <w:rsid w:val="00F1703E"/>
    <w:rsid w:val="00F17088"/>
    <w:rsid w:val="00F174FA"/>
    <w:rsid w:val="00F1752B"/>
    <w:rsid w:val="00F17B5C"/>
    <w:rsid w:val="00F17F64"/>
    <w:rsid w:val="00F2084D"/>
    <w:rsid w:val="00F20AC8"/>
    <w:rsid w:val="00F2120A"/>
    <w:rsid w:val="00F21A2E"/>
    <w:rsid w:val="00F21AD9"/>
    <w:rsid w:val="00F21BD6"/>
    <w:rsid w:val="00F21F1A"/>
    <w:rsid w:val="00F223BF"/>
    <w:rsid w:val="00F223CC"/>
    <w:rsid w:val="00F22678"/>
    <w:rsid w:val="00F22C37"/>
    <w:rsid w:val="00F230CC"/>
    <w:rsid w:val="00F233AE"/>
    <w:rsid w:val="00F2346B"/>
    <w:rsid w:val="00F23FC9"/>
    <w:rsid w:val="00F23FCF"/>
    <w:rsid w:val="00F245B5"/>
    <w:rsid w:val="00F24DE3"/>
    <w:rsid w:val="00F26094"/>
    <w:rsid w:val="00F266AC"/>
    <w:rsid w:val="00F26BCC"/>
    <w:rsid w:val="00F26C07"/>
    <w:rsid w:val="00F26DE5"/>
    <w:rsid w:val="00F26E65"/>
    <w:rsid w:val="00F26F55"/>
    <w:rsid w:val="00F27AE7"/>
    <w:rsid w:val="00F27DAD"/>
    <w:rsid w:val="00F30057"/>
    <w:rsid w:val="00F30093"/>
    <w:rsid w:val="00F30EAA"/>
    <w:rsid w:val="00F31550"/>
    <w:rsid w:val="00F315E3"/>
    <w:rsid w:val="00F317CA"/>
    <w:rsid w:val="00F31C63"/>
    <w:rsid w:val="00F31F32"/>
    <w:rsid w:val="00F321B2"/>
    <w:rsid w:val="00F32C58"/>
    <w:rsid w:val="00F32ED3"/>
    <w:rsid w:val="00F3409F"/>
    <w:rsid w:val="00F3479E"/>
    <w:rsid w:val="00F3480E"/>
    <w:rsid w:val="00F34AB2"/>
    <w:rsid w:val="00F34B5B"/>
    <w:rsid w:val="00F351BA"/>
    <w:rsid w:val="00F35C6D"/>
    <w:rsid w:val="00F35F8A"/>
    <w:rsid w:val="00F3681E"/>
    <w:rsid w:val="00F400F8"/>
    <w:rsid w:val="00F40150"/>
    <w:rsid w:val="00F4043E"/>
    <w:rsid w:val="00F4063F"/>
    <w:rsid w:val="00F408DE"/>
    <w:rsid w:val="00F4127E"/>
    <w:rsid w:val="00F41C0D"/>
    <w:rsid w:val="00F41FE4"/>
    <w:rsid w:val="00F420A3"/>
    <w:rsid w:val="00F423C3"/>
    <w:rsid w:val="00F428FD"/>
    <w:rsid w:val="00F42E56"/>
    <w:rsid w:val="00F43126"/>
    <w:rsid w:val="00F44D4D"/>
    <w:rsid w:val="00F44DC3"/>
    <w:rsid w:val="00F46EF4"/>
    <w:rsid w:val="00F47554"/>
    <w:rsid w:val="00F478FA"/>
    <w:rsid w:val="00F479EE"/>
    <w:rsid w:val="00F47A48"/>
    <w:rsid w:val="00F47B69"/>
    <w:rsid w:val="00F47D39"/>
    <w:rsid w:val="00F47F61"/>
    <w:rsid w:val="00F5030E"/>
    <w:rsid w:val="00F504E5"/>
    <w:rsid w:val="00F50EEC"/>
    <w:rsid w:val="00F51116"/>
    <w:rsid w:val="00F51318"/>
    <w:rsid w:val="00F5144B"/>
    <w:rsid w:val="00F51600"/>
    <w:rsid w:val="00F52698"/>
    <w:rsid w:val="00F527CA"/>
    <w:rsid w:val="00F5299B"/>
    <w:rsid w:val="00F52DB3"/>
    <w:rsid w:val="00F53113"/>
    <w:rsid w:val="00F534B1"/>
    <w:rsid w:val="00F5364E"/>
    <w:rsid w:val="00F5372F"/>
    <w:rsid w:val="00F5478B"/>
    <w:rsid w:val="00F55579"/>
    <w:rsid w:val="00F5558C"/>
    <w:rsid w:val="00F5595F"/>
    <w:rsid w:val="00F55B6E"/>
    <w:rsid w:val="00F56EF9"/>
    <w:rsid w:val="00F57065"/>
    <w:rsid w:val="00F572F2"/>
    <w:rsid w:val="00F57389"/>
    <w:rsid w:val="00F576FA"/>
    <w:rsid w:val="00F57D7D"/>
    <w:rsid w:val="00F57FD8"/>
    <w:rsid w:val="00F6057E"/>
    <w:rsid w:val="00F60B63"/>
    <w:rsid w:val="00F614F3"/>
    <w:rsid w:val="00F61B2A"/>
    <w:rsid w:val="00F62891"/>
    <w:rsid w:val="00F63023"/>
    <w:rsid w:val="00F631CE"/>
    <w:rsid w:val="00F63289"/>
    <w:rsid w:val="00F63650"/>
    <w:rsid w:val="00F6452A"/>
    <w:rsid w:val="00F64D46"/>
    <w:rsid w:val="00F65077"/>
    <w:rsid w:val="00F6515A"/>
    <w:rsid w:val="00F6542B"/>
    <w:rsid w:val="00F656AC"/>
    <w:rsid w:val="00F65CDA"/>
    <w:rsid w:val="00F67B1F"/>
    <w:rsid w:val="00F7074D"/>
    <w:rsid w:val="00F70A4B"/>
    <w:rsid w:val="00F70ADB"/>
    <w:rsid w:val="00F70FE9"/>
    <w:rsid w:val="00F71763"/>
    <w:rsid w:val="00F71979"/>
    <w:rsid w:val="00F71B28"/>
    <w:rsid w:val="00F723EB"/>
    <w:rsid w:val="00F72639"/>
    <w:rsid w:val="00F726BA"/>
    <w:rsid w:val="00F73511"/>
    <w:rsid w:val="00F73792"/>
    <w:rsid w:val="00F739BB"/>
    <w:rsid w:val="00F73A8D"/>
    <w:rsid w:val="00F73D7E"/>
    <w:rsid w:val="00F742FF"/>
    <w:rsid w:val="00F7440F"/>
    <w:rsid w:val="00F74A3D"/>
    <w:rsid w:val="00F74BA0"/>
    <w:rsid w:val="00F74D6D"/>
    <w:rsid w:val="00F75A94"/>
    <w:rsid w:val="00F75BE4"/>
    <w:rsid w:val="00F75E6A"/>
    <w:rsid w:val="00F769C1"/>
    <w:rsid w:val="00F76A1B"/>
    <w:rsid w:val="00F76EC2"/>
    <w:rsid w:val="00F77F9D"/>
    <w:rsid w:val="00F80568"/>
    <w:rsid w:val="00F80BA3"/>
    <w:rsid w:val="00F80EB4"/>
    <w:rsid w:val="00F80F43"/>
    <w:rsid w:val="00F81D4A"/>
    <w:rsid w:val="00F81F3B"/>
    <w:rsid w:val="00F82CB3"/>
    <w:rsid w:val="00F830AF"/>
    <w:rsid w:val="00F83AA3"/>
    <w:rsid w:val="00F83DD1"/>
    <w:rsid w:val="00F83E5C"/>
    <w:rsid w:val="00F84124"/>
    <w:rsid w:val="00F848DF"/>
    <w:rsid w:val="00F8492B"/>
    <w:rsid w:val="00F84994"/>
    <w:rsid w:val="00F84DBC"/>
    <w:rsid w:val="00F84FB1"/>
    <w:rsid w:val="00F8569B"/>
    <w:rsid w:val="00F85738"/>
    <w:rsid w:val="00F857F3"/>
    <w:rsid w:val="00F861BC"/>
    <w:rsid w:val="00F862D0"/>
    <w:rsid w:val="00F8761C"/>
    <w:rsid w:val="00F87682"/>
    <w:rsid w:val="00F87972"/>
    <w:rsid w:val="00F908EA"/>
    <w:rsid w:val="00F91CA4"/>
    <w:rsid w:val="00F91D5E"/>
    <w:rsid w:val="00F924AD"/>
    <w:rsid w:val="00F9353F"/>
    <w:rsid w:val="00F9356A"/>
    <w:rsid w:val="00F93D54"/>
    <w:rsid w:val="00F94111"/>
    <w:rsid w:val="00F94AD0"/>
    <w:rsid w:val="00F94C7A"/>
    <w:rsid w:val="00F94CE7"/>
    <w:rsid w:val="00F94D0C"/>
    <w:rsid w:val="00F951F8"/>
    <w:rsid w:val="00F95259"/>
    <w:rsid w:val="00F955CD"/>
    <w:rsid w:val="00F9575C"/>
    <w:rsid w:val="00F95B14"/>
    <w:rsid w:val="00F95C6B"/>
    <w:rsid w:val="00F96489"/>
    <w:rsid w:val="00F965FE"/>
    <w:rsid w:val="00F97DE7"/>
    <w:rsid w:val="00FA0241"/>
    <w:rsid w:val="00FA02FD"/>
    <w:rsid w:val="00FA0A9A"/>
    <w:rsid w:val="00FA0BBD"/>
    <w:rsid w:val="00FA170C"/>
    <w:rsid w:val="00FA1C20"/>
    <w:rsid w:val="00FA1D87"/>
    <w:rsid w:val="00FA1F0D"/>
    <w:rsid w:val="00FA238F"/>
    <w:rsid w:val="00FA2580"/>
    <w:rsid w:val="00FA32E1"/>
    <w:rsid w:val="00FA43B8"/>
    <w:rsid w:val="00FA4828"/>
    <w:rsid w:val="00FA5413"/>
    <w:rsid w:val="00FA627F"/>
    <w:rsid w:val="00FA678C"/>
    <w:rsid w:val="00FA6C3A"/>
    <w:rsid w:val="00FA71C3"/>
    <w:rsid w:val="00FB0815"/>
    <w:rsid w:val="00FB0960"/>
    <w:rsid w:val="00FB0B41"/>
    <w:rsid w:val="00FB0C62"/>
    <w:rsid w:val="00FB11A4"/>
    <w:rsid w:val="00FB28E0"/>
    <w:rsid w:val="00FB2AFD"/>
    <w:rsid w:val="00FB2BA1"/>
    <w:rsid w:val="00FB335F"/>
    <w:rsid w:val="00FB3ED2"/>
    <w:rsid w:val="00FB43DB"/>
    <w:rsid w:val="00FB4875"/>
    <w:rsid w:val="00FB4A80"/>
    <w:rsid w:val="00FB4B58"/>
    <w:rsid w:val="00FB4E7C"/>
    <w:rsid w:val="00FB572A"/>
    <w:rsid w:val="00FB5CA3"/>
    <w:rsid w:val="00FB6C0E"/>
    <w:rsid w:val="00FB7861"/>
    <w:rsid w:val="00FB7D0A"/>
    <w:rsid w:val="00FC0C41"/>
    <w:rsid w:val="00FC12A7"/>
    <w:rsid w:val="00FC1526"/>
    <w:rsid w:val="00FC16E8"/>
    <w:rsid w:val="00FC1FD6"/>
    <w:rsid w:val="00FC2E5F"/>
    <w:rsid w:val="00FC35FF"/>
    <w:rsid w:val="00FC3BBF"/>
    <w:rsid w:val="00FC45C7"/>
    <w:rsid w:val="00FC4BF6"/>
    <w:rsid w:val="00FC4EDB"/>
    <w:rsid w:val="00FC4FEF"/>
    <w:rsid w:val="00FC4FF0"/>
    <w:rsid w:val="00FC5493"/>
    <w:rsid w:val="00FC59C6"/>
    <w:rsid w:val="00FC5E96"/>
    <w:rsid w:val="00FC60D2"/>
    <w:rsid w:val="00FC644F"/>
    <w:rsid w:val="00FC650C"/>
    <w:rsid w:val="00FC6542"/>
    <w:rsid w:val="00FC6D4C"/>
    <w:rsid w:val="00FC720C"/>
    <w:rsid w:val="00FC7D3D"/>
    <w:rsid w:val="00FD1488"/>
    <w:rsid w:val="00FD1BBD"/>
    <w:rsid w:val="00FD1F5F"/>
    <w:rsid w:val="00FD201D"/>
    <w:rsid w:val="00FD2148"/>
    <w:rsid w:val="00FD2346"/>
    <w:rsid w:val="00FD2634"/>
    <w:rsid w:val="00FD2F65"/>
    <w:rsid w:val="00FD2FBD"/>
    <w:rsid w:val="00FD32C3"/>
    <w:rsid w:val="00FD373A"/>
    <w:rsid w:val="00FD4001"/>
    <w:rsid w:val="00FD4B5E"/>
    <w:rsid w:val="00FD516C"/>
    <w:rsid w:val="00FD520F"/>
    <w:rsid w:val="00FD5C39"/>
    <w:rsid w:val="00FD6185"/>
    <w:rsid w:val="00FD671A"/>
    <w:rsid w:val="00FD6E11"/>
    <w:rsid w:val="00FD72DA"/>
    <w:rsid w:val="00FD7FA8"/>
    <w:rsid w:val="00FE0036"/>
    <w:rsid w:val="00FE00F8"/>
    <w:rsid w:val="00FE1A52"/>
    <w:rsid w:val="00FE237C"/>
    <w:rsid w:val="00FE2894"/>
    <w:rsid w:val="00FE4089"/>
    <w:rsid w:val="00FE4707"/>
    <w:rsid w:val="00FE4810"/>
    <w:rsid w:val="00FE49ED"/>
    <w:rsid w:val="00FE4D12"/>
    <w:rsid w:val="00FE52F7"/>
    <w:rsid w:val="00FE57CE"/>
    <w:rsid w:val="00FE5BB1"/>
    <w:rsid w:val="00FE6535"/>
    <w:rsid w:val="00FE78E0"/>
    <w:rsid w:val="00FE7AA9"/>
    <w:rsid w:val="00FF05C3"/>
    <w:rsid w:val="00FF05D7"/>
    <w:rsid w:val="00FF0842"/>
    <w:rsid w:val="00FF0CF2"/>
    <w:rsid w:val="00FF21DC"/>
    <w:rsid w:val="00FF2B19"/>
    <w:rsid w:val="00FF3092"/>
    <w:rsid w:val="00FF3A1C"/>
    <w:rsid w:val="00FF3BBE"/>
    <w:rsid w:val="00FF5573"/>
    <w:rsid w:val="00FF597E"/>
    <w:rsid w:val="00FF5A43"/>
    <w:rsid w:val="00FF6B84"/>
    <w:rsid w:val="00FF6FA8"/>
    <w:rsid w:val="00FF7474"/>
    <w:rsid w:val="00FF7A38"/>
    <w:rsid w:val="00FF7B06"/>
    <w:rsid w:val="00FF7DD1"/>
    <w:rsid w:val="00FF7DD2"/>
    <w:rsid w:val="021F437D"/>
    <w:rsid w:val="04BD1834"/>
    <w:rsid w:val="112D4376"/>
    <w:rsid w:val="13CB7DE5"/>
    <w:rsid w:val="14362FEB"/>
    <w:rsid w:val="14A46328"/>
    <w:rsid w:val="14D641CF"/>
    <w:rsid w:val="15DD3818"/>
    <w:rsid w:val="16752E6B"/>
    <w:rsid w:val="1BAF5E86"/>
    <w:rsid w:val="1CE45834"/>
    <w:rsid w:val="1E796F27"/>
    <w:rsid w:val="1FCE38F8"/>
    <w:rsid w:val="26F22548"/>
    <w:rsid w:val="342250C4"/>
    <w:rsid w:val="34362DB1"/>
    <w:rsid w:val="34E77E7D"/>
    <w:rsid w:val="3842411A"/>
    <w:rsid w:val="39BD18C9"/>
    <w:rsid w:val="3A5D28B5"/>
    <w:rsid w:val="3DB020A4"/>
    <w:rsid w:val="3E696657"/>
    <w:rsid w:val="46EF7E2B"/>
    <w:rsid w:val="47D531A7"/>
    <w:rsid w:val="498354BC"/>
    <w:rsid w:val="4D221507"/>
    <w:rsid w:val="4FD71213"/>
    <w:rsid w:val="51FC1F78"/>
    <w:rsid w:val="58D838DD"/>
    <w:rsid w:val="5EA9635C"/>
    <w:rsid w:val="630F2E89"/>
    <w:rsid w:val="642740D1"/>
    <w:rsid w:val="65085BF4"/>
    <w:rsid w:val="66CA67EE"/>
    <w:rsid w:val="682313FA"/>
    <w:rsid w:val="6CF33971"/>
    <w:rsid w:val="6D1C4EDD"/>
    <w:rsid w:val="6DAD1A91"/>
    <w:rsid w:val="6DC01696"/>
    <w:rsid w:val="6EC26C0F"/>
    <w:rsid w:val="70914652"/>
    <w:rsid w:val="725E38ED"/>
    <w:rsid w:val="73B44D12"/>
    <w:rsid w:val="74A418D2"/>
    <w:rsid w:val="76312C56"/>
    <w:rsid w:val="7E105F8D"/>
  </w:rsids>
  <m:mathPr>
    <m:mathFont m:val="Cambria Math"/>
    <m:brkBin m:val="before"/>
    <m:brkBinSub m:val="--"/>
    <m:smallFrac m:val="1"/>
    <m:dispDef/>
    <m:lMargin m:val="0"/>
    <m:rMargin m:val="0"/>
    <m:defJc m:val="centerGroup"/>
    <m:wrapIndent m:val="1440"/>
    <m:intLim m:val="subSup"/>
    <m:naryLim m:val="undOvr"/>
  </m:mathPr>
  <w:attachedSchema w:val="http://open.weibo.com/wb"/>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ind w:firstLine="374"/>
      <w:jc w:val="both"/>
    </w:pPr>
    <w:rPr>
      <w:rFonts w:ascii="宋体" w:hAnsi="宋体" w:eastAsia="宋体" w:cs="Times New Roman"/>
      <w:color w:val="000000"/>
      <w:kern w:val="2"/>
      <w:sz w:val="21"/>
      <w:szCs w:val="21"/>
      <w:lang w:val="en-US" w:eastAsia="zh-CN" w:bidi="ar-SA"/>
    </w:rPr>
  </w:style>
  <w:style w:type="paragraph" w:styleId="2">
    <w:name w:val="heading 1"/>
    <w:basedOn w:val="1"/>
    <w:next w:val="1"/>
    <w:qFormat/>
    <w:uiPriority w:val="0"/>
    <w:pPr>
      <w:numPr>
        <w:ilvl w:val="0"/>
        <w:numId w:val="1"/>
      </w:numPr>
      <w:tabs>
        <w:tab w:val="left" w:pos="360"/>
        <w:tab w:val="left" w:pos="540"/>
      </w:tabs>
      <w:ind w:right="560"/>
      <w:outlineLvl w:val="0"/>
    </w:pPr>
    <w:rPr>
      <w:b/>
      <w:bCs/>
      <w:sz w:val="32"/>
      <w:szCs w:val="32"/>
    </w:rPr>
  </w:style>
  <w:style w:type="paragraph" w:styleId="3">
    <w:name w:val="heading 2"/>
    <w:basedOn w:val="1"/>
    <w:next w:val="1"/>
    <w:qFormat/>
    <w:uiPriority w:val="0"/>
    <w:pPr>
      <w:keepNext/>
      <w:keepLines/>
      <w:tabs>
        <w:tab w:val="left" w:pos="540"/>
        <w:tab w:val="left" w:pos="3045"/>
        <w:tab w:val="left" w:pos="3402"/>
        <w:tab w:val="center" w:pos="4275"/>
      </w:tabs>
      <w:spacing w:line="480" w:lineRule="atLeast"/>
      <w:jc w:val="left"/>
      <w:outlineLvl w:val="1"/>
    </w:pPr>
    <w:rPr>
      <w:rFonts w:ascii="仿宋_GB2312" w:eastAsia="仿宋_GB2312" w:cs="宋体" w:hAnsiTheme="minorEastAsia"/>
      <w:b/>
      <w:color w:val="auto"/>
      <w:kern w:val="0"/>
      <w:sz w:val="28"/>
      <w:szCs w:val="28"/>
      <w:shd w:val="clear" w:color="auto" w:fill="FFFFFF"/>
    </w:rPr>
  </w:style>
  <w:style w:type="paragraph" w:styleId="4">
    <w:name w:val="heading 3"/>
    <w:basedOn w:val="1"/>
    <w:next w:val="1"/>
    <w:qFormat/>
    <w:uiPriority w:val="0"/>
    <w:pPr>
      <w:keepNext/>
      <w:keepLines/>
      <w:numPr>
        <w:ilvl w:val="2"/>
        <w:numId w:val="1"/>
      </w:numPr>
      <w:spacing w:before="260" w:after="260" w:line="416" w:lineRule="auto"/>
      <w:outlineLvl w:val="2"/>
    </w:pPr>
    <w:rPr>
      <w:sz w:val="26"/>
      <w:szCs w:val="26"/>
    </w:rPr>
  </w:style>
  <w:style w:type="paragraph" w:styleId="5">
    <w:name w:val="heading 4"/>
    <w:basedOn w:val="1"/>
    <w:next w:val="1"/>
    <w:qFormat/>
    <w:uiPriority w:val="0"/>
    <w:pPr>
      <w:keepNext/>
      <w:keepLines/>
      <w:numPr>
        <w:ilvl w:val="3"/>
        <w:numId w:val="1"/>
      </w:numPr>
      <w:spacing w:before="280" w:after="290" w:line="376" w:lineRule="auto"/>
      <w:outlineLvl w:val="3"/>
    </w:pPr>
    <w:rPr>
      <w:sz w:val="28"/>
      <w:szCs w:val="28"/>
    </w:rPr>
  </w:style>
  <w:style w:type="paragraph" w:styleId="6">
    <w:name w:val="heading 5"/>
    <w:basedOn w:val="1"/>
    <w:next w:val="1"/>
    <w:qFormat/>
    <w:uiPriority w:val="0"/>
    <w:pPr>
      <w:keepNext/>
      <w:keepLines/>
      <w:numPr>
        <w:ilvl w:val="4"/>
        <w:numId w:val="1"/>
      </w:numPr>
      <w:spacing w:before="280" w:after="290" w:line="376" w:lineRule="auto"/>
      <w:outlineLvl w:val="4"/>
    </w:pPr>
    <w:rPr>
      <w:sz w:val="26"/>
      <w:szCs w:val="26"/>
    </w:rPr>
  </w:style>
  <w:style w:type="paragraph" w:styleId="7">
    <w:name w:val="heading 6"/>
    <w:basedOn w:val="1"/>
    <w:next w:val="1"/>
    <w:qFormat/>
    <w:uiPriority w:val="0"/>
    <w:pPr>
      <w:keepNext/>
      <w:keepLines/>
      <w:numPr>
        <w:ilvl w:val="5"/>
        <w:numId w:val="1"/>
      </w:numPr>
      <w:spacing w:before="240" w:after="64" w:line="320" w:lineRule="auto"/>
      <w:outlineLvl w:val="5"/>
    </w:pPr>
    <w:rPr>
      <w:sz w:val="22"/>
      <w:szCs w:val="22"/>
    </w:rPr>
  </w:style>
  <w:style w:type="character" w:default="1" w:styleId="22">
    <w:name w:val="Default Paragraph Font"/>
    <w:semiHidden/>
    <w:unhideWhenUsed/>
    <w:qFormat/>
    <w:uiPriority w:val="1"/>
  </w:style>
  <w:style w:type="table" w:default="1" w:styleId="29">
    <w:name w:val="Normal Table"/>
    <w:semiHidden/>
    <w:unhideWhenUsed/>
    <w:qFormat/>
    <w:uiPriority w:val="99"/>
    <w:tblPr>
      <w:tblLayout w:type="fixed"/>
      <w:tblCellMar>
        <w:top w:w="0" w:type="dxa"/>
        <w:left w:w="108" w:type="dxa"/>
        <w:bottom w:w="0" w:type="dxa"/>
        <w:right w:w="108" w:type="dxa"/>
      </w:tblCellMar>
    </w:tblPr>
  </w:style>
  <w:style w:type="paragraph" w:styleId="8">
    <w:name w:val="annotation subject"/>
    <w:basedOn w:val="9"/>
    <w:next w:val="9"/>
    <w:link w:val="100"/>
    <w:qFormat/>
    <w:uiPriority w:val="0"/>
    <w:rPr>
      <w:b/>
      <w:bCs/>
    </w:rPr>
  </w:style>
  <w:style w:type="paragraph" w:styleId="9">
    <w:name w:val="annotation text"/>
    <w:basedOn w:val="1"/>
    <w:link w:val="99"/>
    <w:qFormat/>
    <w:uiPriority w:val="0"/>
    <w:pPr>
      <w:jc w:val="left"/>
    </w:pPr>
  </w:style>
  <w:style w:type="paragraph" w:styleId="10">
    <w:name w:val="Document Map"/>
    <w:basedOn w:val="1"/>
    <w:semiHidden/>
    <w:qFormat/>
    <w:uiPriority w:val="0"/>
    <w:pPr>
      <w:shd w:val="clear" w:color="auto" w:fill="000080"/>
    </w:pPr>
  </w:style>
  <w:style w:type="paragraph" w:styleId="11">
    <w:name w:val="toc 3"/>
    <w:basedOn w:val="1"/>
    <w:next w:val="1"/>
    <w:semiHidden/>
    <w:qFormat/>
    <w:uiPriority w:val="0"/>
    <w:pPr>
      <w:ind w:left="840" w:leftChars="400"/>
    </w:pPr>
  </w:style>
  <w:style w:type="paragraph" w:styleId="12">
    <w:name w:val="Plain Text"/>
    <w:basedOn w:val="1"/>
    <w:qFormat/>
    <w:uiPriority w:val="0"/>
    <w:pPr>
      <w:widowControl/>
      <w:spacing w:before="100" w:beforeAutospacing="1" w:after="100" w:afterAutospacing="1" w:line="360" w:lineRule="atLeast"/>
      <w:jc w:val="left"/>
    </w:pPr>
    <w:rPr>
      <w:rFonts w:cs="宋体"/>
      <w:kern w:val="0"/>
    </w:rPr>
  </w:style>
  <w:style w:type="paragraph" w:styleId="13">
    <w:name w:val="Date"/>
    <w:basedOn w:val="1"/>
    <w:next w:val="1"/>
    <w:qFormat/>
    <w:uiPriority w:val="0"/>
    <w:pPr>
      <w:ind w:left="100" w:leftChars="2500"/>
    </w:pPr>
  </w:style>
  <w:style w:type="paragraph" w:styleId="14">
    <w:name w:val="Balloon Text"/>
    <w:basedOn w:val="1"/>
    <w:semiHidden/>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szCs w:val="18"/>
    </w:rPr>
  </w:style>
  <w:style w:type="paragraph" w:styleId="16">
    <w:name w:val="header"/>
    <w:basedOn w:val="1"/>
    <w:link w:val="96"/>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tabs>
        <w:tab w:val="left" w:pos="1255"/>
        <w:tab w:val="right" w:leader="dot" w:pos="8812"/>
      </w:tabs>
      <w:spacing w:line="480" w:lineRule="auto"/>
    </w:pPr>
  </w:style>
  <w:style w:type="paragraph" w:styleId="18">
    <w:name w:val="toc 2"/>
    <w:basedOn w:val="1"/>
    <w:next w:val="1"/>
    <w:qFormat/>
    <w:uiPriority w:val="39"/>
    <w:pPr>
      <w:tabs>
        <w:tab w:val="left" w:pos="865"/>
        <w:tab w:val="right" w:leader="dot" w:pos="8812"/>
      </w:tabs>
      <w:spacing w:line="300" w:lineRule="auto"/>
    </w:pPr>
  </w:style>
  <w:style w:type="paragraph" w:styleId="19">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cs="宋体"/>
      <w:kern w:val="0"/>
      <w:sz w:val="24"/>
    </w:rPr>
  </w:style>
  <w:style w:type="paragraph" w:styleId="20">
    <w:name w:val="Normal (Web)"/>
    <w:basedOn w:val="1"/>
    <w:qFormat/>
    <w:uiPriority w:val="99"/>
    <w:pPr>
      <w:widowControl/>
      <w:shd w:val="clear" w:color="auto" w:fill="FFFFFF"/>
      <w:spacing w:before="230" w:after="230" w:line="352" w:lineRule="atLeast"/>
      <w:jc w:val="left"/>
    </w:pPr>
    <w:rPr>
      <w:rFonts w:ascii="仿宋_GB2312" w:hAnsi="微软雅黑" w:eastAsia="仿宋_GB2312"/>
      <w:color w:val="333333"/>
      <w:kern w:val="0"/>
      <w:sz w:val="28"/>
      <w:szCs w:val="28"/>
    </w:rPr>
  </w:style>
  <w:style w:type="paragraph" w:styleId="21">
    <w:name w:val="Title"/>
    <w:basedOn w:val="1"/>
    <w:next w:val="1"/>
    <w:link w:val="65"/>
    <w:qFormat/>
    <w:uiPriority w:val="0"/>
    <w:pPr>
      <w:spacing w:before="240" w:after="60"/>
      <w:jc w:val="center"/>
      <w:outlineLvl w:val="0"/>
    </w:pPr>
    <w:rPr>
      <w:rFonts w:ascii="Cambria" w:hAnsi="Cambria"/>
      <w:b/>
      <w:bCs/>
      <w:sz w:val="32"/>
      <w:szCs w:val="32"/>
    </w:rPr>
  </w:style>
  <w:style w:type="character" w:styleId="23">
    <w:name w:val="Strong"/>
    <w:qFormat/>
    <w:uiPriority w:val="22"/>
    <w:rPr>
      <w:b/>
      <w:bCs/>
    </w:rPr>
  </w:style>
  <w:style w:type="character" w:styleId="24">
    <w:name w:val="page number"/>
    <w:basedOn w:val="22"/>
    <w:qFormat/>
    <w:uiPriority w:val="0"/>
  </w:style>
  <w:style w:type="character" w:styleId="25">
    <w:name w:val="FollowedHyperlink"/>
    <w:qFormat/>
    <w:uiPriority w:val="0"/>
    <w:rPr>
      <w:color w:val="999966"/>
      <w:u w:val="single"/>
    </w:rPr>
  </w:style>
  <w:style w:type="character" w:styleId="26">
    <w:name w:val="Emphasis"/>
    <w:basedOn w:val="22"/>
    <w:qFormat/>
    <w:uiPriority w:val="20"/>
    <w:rPr>
      <w:i/>
      <w:iCs/>
    </w:rPr>
  </w:style>
  <w:style w:type="character" w:styleId="27">
    <w:name w:val="Hyperlink"/>
    <w:qFormat/>
    <w:uiPriority w:val="99"/>
    <w:rPr>
      <w:rFonts w:hint="default"/>
      <w:color w:val="CC9933"/>
      <w:sz w:val="20"/>
      <w:szCs w:val="20"/>
      <w:u w:val="none"/>
    </w:rPr>
  </w:style>
  <w:style w:type="character" w:styleId="28">
    <w:name w:val="annotation reference"/>
    <w:basedOn w:val="22"/>
    <w:qFormat/>
    <w:uiPriority w:val="0"/>
    <w:rPr>
      <w:sz w:val="21"/>
      <w:szCs w:val="21"/>
    </w:rPr>
  </w:style>
  <w:style w:type="table" w:styleId="30">
    <w:name w:val="Table Grid"/>
    <w:basedOn w:val="2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styleId="31">
    <w:name w:val="Table Theme"/>
    <w:basedOn w:val="29"/>
    <w:qFormat/>
    <w:uiPriority w:val="0"/>
    <w:pPr>
      <w:widowControl w:val="0"/>
      <w:jc w:val="both"/>
    </w:pPr>
    <w:tblPr>
      <w:tblBorders>
        <w:top w:val="single" w:color="CC9933" w:sz="4" w:space="0"/>
        <w:left w:val="single" w:color="CC9933" w:sz="4" w:space="0"/>
        <w:bottom w:val="single" w:color="CC9933" w:sz="4" w:space="0"/>
        <w:right w:val="single" w:color="CC9933" w:sz="4" w:space="0"/>
        <w:insideH w:val="single" w:color="CC9933" w:sz="4" w:space="0"/>
        <w:insideV w:val="single" w:color="CC9933" w:sz="4" w:space="0"/>
      </w:tblBorders>
      <w:tblLayout w:type="fixed"/>
      <w:tblCellMar>
        <w:top w:w="0" w:type="dxa"/>
        <w:left w:w="108" w:type="dxa"/>
        <w:bottom w:w="0" w:type="dxa"/>
        <w:right w:w="108" w:type="dxa"/>
      </w:tblCellMar>
    </w:tblPr>
  </w:style>
  <w:style w:type="character" w:customStyle="1" w:styleId="32">
    <w:name w:val="ccwheading021"/>
    <w:qFormat/>
    <w:uiPriority w:val="0"/>
    <w:rPr>
      <w:b/>
      <w:bCs/>
      <w:color w:val="007ECE"/>
      <w:spacing w:val="540"/>
      <w:sz w:val="36"/>
      <w:szCs w:val="36"/>
    </w:rPr>
  </w:style>
  <w:style w:type="paragraph" w:customStyle="1" w:styleId="33">
    <w:name w:val="a14"/>
    <w:basedOn w:val="1"/>
    <w:qFormat/>
    <w:uiPriority w:val="0"/>
    <w:pPr>
      <w:widowControl/>
      <w:spacing w:before="100" w:beforeAutospacing="1" w:after="100" w:afterAutospacing="1" w:line="300" w:lineRule="atLeast"/>
      <w:ind w:firstLine="375"/>
      <w:jc w:val="left"/>
    </w:pPr>
    <w:rPr>
      <w:kern w:val="0"/>
    </w:rPr>
  </w:style>
  <w:style w:type="paragraph" w:customStyle="1" w:styleId="34">
    <w:name w:val="article"/>
    <w:basedOn w:val="1"/>
    <w:qFormat/>
    <w:uiPriority w:val="0"/>
    <w:pPr>
      <w:widowControl/>
      <w:spacing w:before="100" w:beforeAutospacing="1" w:after="100" w:afterAutospacing="1"/>
      <w:jc w:val="left"/>
    </w:pPr>
    <w:rPr>
      <w:kern w:val="0"/>
      <w:sz w:val="24"/>
    </w:rPr>
  </w:style>
  <w:style w:type="character" w:customStyle="1" w:styleId="35">
    <w:name w:val="content1"/>
    <w:qFormat/>
    <w:uiPriority w:val="0"/>
    <w:rPr>
      <w:rFonts w:hint="default"/>
      <w:color w:val="000000"/>
      <w:spacing w:val="300"/>
      <w:sz w:val="22"/>
      <w:szCs w:val="22"/>
      <w:u w:val="none"/>
    </w:rPr>
  </w:style>
  <w:style w:type="character" w:customStyle="1" w:styleId="36">
    <w:name w:val="style5"/>
    <w:basedOn w:val="22"/>
    <w:qFormat/>
    <w:uiPriority w:val="0"/>
  </w:style>
  <w:style w:type="character" w:customStyle="1" w:styleId="37">
    <w:name w:val="news-title1"/>
    <w:qFormat/>
    <w:uiPriority w:val="0"/>
    <w:rPr>
      <w:sz w:val="24"/>
      <w:szCs w:val="24"/>
    </w:rPr>
  </w:style>
  <w:style w:type="character" w:customStyle="1" w:styleId="38">
    <w:name w:val="news-121"/>
    <w:qFormat/>
    <w:uiPriority w:val="0"/>
    <w:rPr>
      <w:color w:val="000000"/>
      <w:sz w:val="20"/>
      <w:szCs w:val="20"/>
    </w:rPr>
  </w:style>
  <w:style w:type="character" w:customStyle="1" w:styleId="39">
    <w:name w:val="span21"/>
    <w:qFormat/>
    <w:uiPriority w:val="0"/>
    <w:rPr>
      <w:color w:val="333333"/>
      <w:sz w:val="18"/>
      <w:szCs w:val="18"/>
    </w:rPr>
  </w:style>
  <w:style w:type="paragraph" w:customStyle="1" w:styleId="40">
    <w:name w:val="subsectitle"/>
    <w:basedOn w:val="1"/>
    <w:qFormat/>
    <w:uiPriority w:val="0"/>
    <w:pPr>
      <w:widowControl/>
      <w:spacing w:before="100" w:beforeAutospacing="1" w:after="100" w:afterAutospacing="1" w:line="336" w:lineRule="auto"/>
      <w:jc w:val="left"/>
    </w:pPr>
    <w:rPr>
      <w:rFonts w:ascii="Arial" w:hAnsi="Arial" w:cs="Arial"/>
      <w:b/>
      <w:bCs/>
      <w:color w:val="990000"/>
      <w:kern w:val="0"/>
    </w:rPr>
  </w:style>
  <w:style w:type="character" w:customStyle="1" w:styleId="41">
    <w:name w:val="style41"/>
    <w:qFormat/>
    <w:uiPriority w:val="0"/>
    <w:rPr>
      <w:b/>
      <w:bCs/>
      <w:color w:val="FFFFFF"/>
      <w:sz w:val="187"/>
      <w:szCs w:val="187"/>
    </w:rPr>
  </w:style>
  <w:style w:type="character" w:customStyle="1" w:styleId="42">
    <w:name w:val="style141"/>
    <w:qFormat/>
    <w:uiPriority w:val="0"/>
    <w:rPr>
      <w:b/>
      <w:bCs/>
      <w:color w:val="FF3300"/>
      <w:sz w:val="27"/>
      <w:szCs w:val="27"/>
    </w:rPr>
  </w:style>
  <w:style w:type="paragraph" w:customStyle="1" w:styleId="43">
    <w:name w:val="title"/>
    <w:basedOn w:val="1"/>
    <w:qFormat/>
    <w:uiPriority w:val="0"/>
    <w:pPr>
      <w:widowControl/>
      <w:spacing w:before="100" w:beforeAutospacing="1" w:after="100" w:afterAutospacing="1" w:line="360" w:lineRule="auto"/>
      <w:jc w:val="left"/>
    </w:pPr>
    <w:rPr>
      <w:rFonts w:ascii="ˎ̥" w:hAnsi="ˎ̥" w:cs="宋体"/>
      <w:b/>
      <w:bCs/>
      <w:kern w:val="0"/>
      <w:sz w:val="24"/>
    </w:rPr>
  </w:style>
  <w:style w:type="character" w:customStyle="1" w:styleId="44">
    <w:name w:val="blueheading1"/>
    <w:qFormat/>
    <w:uiPriority w:val="0"/>
    <w:rPr>
      <w:b/>
      <w:bCs/>
      <w:color w:val="000066"/>
      <w:sz w:val="21"/>
      <w:szCs w:val="21"/>
    </w:rPr>
  </w:style>
  <w:style w:type="character" w:customStyle="1" w:styleId="45">
    <w:name w:val="red1"/>
    <w:qFormat/>
    <w:uiPriority w:val="0"/>
    <w:rPr>
      <w:rFonts w:hint="default" w:ascii="Tahoma" w:hAnsi="Tahoma" w:cs="Tahoma"/>
      <w:b/>
      <w:bCs/>
      <w:color w:val="990000"/>
      <w:sz w:val="18"/>
      <w:szCs w:val="18"/>
    </w:rPr>
  </w:style>
  <w:style w:type="character" w:customStyle="1" w:styleId="46">
    <w:name w:val="txt1"/>
    <w:qFormat/>
    <w:uiPriority w:val="0"/>
    <w:rPr>
      <w:rFonts w:hint="default" w:ascii="ˎ̥" w:hAnsi="ˎ̥"/>
      <w:sz w:val="21"/>
      <w:szCs w:val="21"/>
    </w:rPr>
  </w:style>
  <w:style w:type="paragraph" w:customStyle="1" w:styleId="47">
    <w:name w:val="Char Char Char Char Char Char Char"/>
    <w:basedOn w:val="1"/>
    <w:qFormat/>
    <w:uiPriority w:val="0"/>
    <w:pPr>
      <w:widowControl/>
      <w:snapToGrid w:val="0"/>
      <w:spacing w:line="240" w:lineRule="exact"/>
      <w:jc w:val="left"/>
    </w:pPr>
    <w:rPr>
      <w:rFonts w:ascii="Verdana" w:hAnsi="Verdana"/>
      <w:color w:val="auto"/>
      <w:kern w:val="0"/>
      <w:sz w:val="20"/>
      <w:szCs w:val="20"/>
      <w:lang w:eastAsia="en-US"/>
    </w:rPr>
  </w:style>
  <w:style w:type="character" w:customStyle="1" w:styleId="48">
    <w:name w:val="style11"/>
    <w:qFormat/>
    <w:uiPriority w:val="0"/>
    <w:rPr>
      <w:b/>
      <w:bCs/>
      <w:sz w:val="24"/>
      <w:szCs w:val="24"/>
    </w:rPr>
  </w:style>
  <w:style w:type="character" w:customStyle="1" w:styleId="49">
    <w:name w:val="bt11"/>
    <w:basedOn w:val="22"/>
    <w:qFormat/>
    <w:uiPriority w:val="0"/>
  </w:style>
  <w:style w:type="paragraph" w:customStyle="1" w:styleId="50">
    <w:name w:val="newtext"/>
    <w:basedOn w:val="1"/>
    <w:qFormat/>
    <w:uiPriority w:val="0"/>
    <w:pPr>
      <w:widowControl/>
      <w:spacing w:before="100" w:beforeAutospacing="1" w:after="100" w:afterAutospacing="1" w:line="360" w:lineRule="atLeast"/>
      <w:jc w:val="left"/>
    </w:pPr>
    <w:rPr>
      <w:rFonts w:cs="宋体"/>
      <w:color w:val="auto"/>
      <w:kern w:val="0"/>
    </w:rPr>
  </w:style>
  <w:style w:type="paragraph" w:customStyle="1" w:styleId="51">
    <w:name w:val="f14"/>
    <w:basedOn w:val="1"/>
    <w:qFormat/>
    <w:uiPriority w:val="0"/>
    <w:pPr>
      <w:widowControl/>
      <w:spacing w:before="100" w:beforeAutospacing="1" w:after="100" w:afterAutospacing="1"/>
      <w:jc w:val="left"/>
    </w:pPr>
    <w:rPr>
      <w:rFonts w:cs="宋体"/>
      <w:color w:val="auto"/>
      <w:kern w:val="0"/>
      <w:sz w:val="18"/>
      <w:szCs w:val="18"/>
    </w:rPr>
  </w:style>
  <w:style w:type="character" w:customStyle="1" w:styleId="52">
    <w:name w:val="dahei1"/>
    <w:qFormat/>
    <w:uiPriority w:val="0"/>
    <w:rPr>
      <w:b/>
      <w:bCs/>
      <w:color w:val="000000"/>
      <w:sz w:val="28"/>
      <w:szCs w:val="28"/>
      <w:u w:val="none"/>
    </w:rPr>
  </w:style>
  <w:style w:type="character" w:customStyle="1" w:styleId="53">
    <w:name w:val="txt4"/>
    <w:basedOn w:val="22"/>
    <w:qFormat/>
    <w:uiPriority w:val="0"/>
  </w:style>
  <w:style w:type="character" w:customStyle="1" w:styleId="54">
    <w:name w:val="font_red1"/>
    <w:qFormat/>
    <w:uiPriority w:val="0"/>
    <w:rPr>
      <w:color w:val="CC0000"/>
    </w:rPr>
  </w:style>
  <w:style w:type="character" w:customStyle="1" w:styleId="55">
    <w:name w:val="font_sred1"/>
    <w:qFormat/>
    <w:uiPriority w:val="0"/>
    <w:rPr>
      <w:color w:val="CC0000"/>
    </w:rPr>
  </w:style>
  <w:style w:type="character" w:customStyle="1" w:styleId="56">
    <w:name w:val="a14c"/>
    <w:basedOn w:val="22"/>
    <w:qFormat/>
    <w:uiPriority w:val="0"/>
  </w:style>
  <w:style w:type="character" w:customStyle="1" w:styleId="57">
    <w:name w:val="style181"/>
    <w:qFormat/>
    <w:uiPriority w:val="0"/>
    <w:rPr>
      <w:color w:val="660000"/>
    </w:rPr>
  </w:style>
  <w:style w:type="character" w:customStyle="1" w:styleId="58">
    <w:name w:val="b181"/>
    <w:qFormat/>
    <w:uiPriority w:val="0"/>
    <w:rPr>
      <w:b/>
      <w:bCs/>
      <w:sz w:val="27"/>
      <w:szCs w:val="27"/>
    </w:rPr>
  </w:style>
  <w:style w:type="character" w:customStyle="1" w:styleId="59">
    <w:name w:val="short_text1"/>
    <w:qFormat/>
    <w:uiPriority w:val="0"/>
    <w:rPr>
      <w:sz w:val="29"/>
      <w:szCs w:val="29"/>
    </w:rPr>
  </w:style>
  <w:style w:type="paragraph" w:customStyle="1" w:styleId="60">
    <w:name w:val="无间隔1"/>
    <w:link w:val="61"/>
    <w:qFormat/>
    <w:uiPriority w:val="1"/>
    <w:pPr>
      <w:spacing w:line="240" w:lineRule="atLeast"/>
      <w:ind w:firstLine="374"/>
    </w:pPr>
    <w:rPr>
      <w:rFonts w:ascii="Calibri" w:hAnsi="Calibri" w:eastAsia="宋体" w:cs="Times New Roman"/>
      <w:sz w:val="22"/>
      <w:szCs w:val="22"/>
      <w:lang w:val="en-US" w:eastAsia="zh-CN" w:bidi="ar-SA"/>
    </w:rPr>
  </w:style>
  <w:style w:type="character" w:customStyle="1" w:styleId="61">
    <w:name w:val="无间隔 Char"/>
    <w:link w:val="60"/>
    <w:qFormat/>
    <w:uiPriority w:val="1"/>
    <w:rPr>
      <w:rFonts w:ascii="Calibri" w:hAnsi="Calibri"/>
      <w:sz w:val="22"/>
      <w:szCs w:val="22"/>
      <w:lang w:val="en-US" w:eastAsia="zh-CN" w:bidi="ar-SA"/>
    </w:rPr>
  </w:style>
  <w:style w:type="character" w:customStyle="1" w:styleId="62">
    <w:name w:val="apple-style-span"/>
    <w:basedOn w:val="22"/>
    <w:qFormat/>
    <w:uiPriority w:val="0"/>
  </w:style>
  <w:style w:type="character" w:customStyle="1" w:styleId="63">
    <w:name w:val="img_descr2"/>
    <w:basedOn w:val="22"/>
    <w:qFormat/>
    <w:uiPriority w:val="0"/>
  </w:style>
  <w:style w:type="paragraph" w:customStyle="1" w:styleId="64">
    <w:name w:val="列出段落1"/>
    <w:basedOn w:val="1"/>
    <w:qFormat/>
    <w:uiPriority w:val="34"/>
    <w:pPr>
      <w:ind w:firstLine="420" w:firstLineChars="200"/>
    </w:pPr>
  </w:style>
  <w:style w:type="character" w:customStyle="1" w:styleId="65">
    <w:name w:val="标题 Char"/>
    <w:basedOn w:val="22"/>
    <w:link w:val="21"/>
    <w:qFormat/>
    <w:uiPriority w:val="0"/>
    <w:rPr>
      <w:rFonts w:ascii="Cambria" w:hAnsi="Cambria" w:cs="Times New Roman"/>
      <w:b/>
      <w:bCs/>
      <w:color w:val="000000"/>
      <w:kern w:val="2"/>
      <w:sz w:val="32"/>
      <w:szCs w:val="32"/>
    </w:rPr>
  </w:style>
  <w:style w:type="character" w:customStyle="1" w:styleId="66">
    <w:name w:val="blk_video_news1"/>
    <w:basedOn w:val="22"/>
    <w:qFormat/>
    <w:uiPriority w:val="0"/>
    <w:rPr>
      <w:shd w:val="clear" w:color="auto" w:fill="EEEEEE"/>
    </w:rPr>
  </w:style>
  <w:style w:type="character" w:customStyle="1" w:styleId="67">
    <w:name w:val="video_title2"/>
    <w:basedOn w:val="22"/>
    <w:qFormat/>
    <w:uiPriority w:val="0"/>
    <w:rPr>
      <w:color w:val="B60C0C"/>
      <w:sz w:val="18"/>
      <w:szCs w:val="18"/>
    </w:rPr>
  </w:style>
  <w:style w:type="character" w:customStyle="1" w:styleId="68">
    <w:name w:val="video_source2"/>
    <w:basedOn w:val="22"/>
    <w:qFormat/>
    <w:uiPriority w:val="0"/>
    <w:rPr>
      <w:color w:val="929292"/>
      <w:sz w:val="18"/>
      <w:szCs w:val="18"/>
    </w:rPr>
  </w:style>
  <w:style w:type="character" w:customStyle="1" w:styleId="69">
    <w:name w:val="othercontent_01"/>
    <w:basedOn w:val="22"/>
    <w:qFormat/>
    <w:uiPriority w:val="0"/>
  </w:style>
  <w:style w:type="character" w:customStyle="1" w:styleId="70">
    <w:name w:val="apple-converted-space"/>
    <w:basedOn w:val="22"/>
    <w:qFormat/>
    <w:uiPriority w:val="0"/>
  </w:style>
  <w:style w:type="character" w:customStyle="1" w:styleId="71">
    <w:name w:val="keyword"/>
    <w:basedOn w:val="22"/>
    <w:qFormat/>
    <w:uiPriority w:val="0"/>
  </w:style>
  <w:style w:type="character" w:customStyle="1" w:styleId="72">
    <w:name w:val="xuxian"/>
    <w:basedOn w:val="22"/>
    <w:qFormat/>
    <w:uiPriority w:val="0"/>
  </w:style>
  <w:style w:type="paragraph" w:customStyle="1" w:styleId="73">
    <w:name w:val="fz14"/>
    <w:basedOn w:val="1"/>
    <w:qFormat/>
    <w:uiPriority w:val="0"/>
    <w:pPr>
      <w:widowControl/>
      <w:spacing w:before="100" w:beforeAutospacing="1" w:after="100" w:afterAutospacing="1"/>
      <w:jc w:val="left"/>
    </w:pPr>
    <w:rPr>
      <w:rFonts w:cs="宋体"/>
      <w:color w:val="auto"/>
      <w:kern w:val="0"/>
      <w:sz w:val="24"/>
      <w:szCs w:val="24"/>
    </w:rPr>
  </w:style>
  <w:style w:type="character" w:customStyle="1" w:styleId="74">
    <w:name w:val="ifenglogo"/>
    <w:basedOn w:val="22"/>
    <w:qFormat/>
    <w:uiPriority w:val="0"/>
  </w:style>
  <w:style w:type="paragraph" w:customStyle="1" w:styleId="75">
    <w:name w:val="样式1"/>
    <w:basedOn w:val="1"/>
    <w:link w:val="76"/>
    <w:qFormat/>
    <w:uiPriority w:val="0"/>
    <w:pPr>
      <w:widowControl/>
      <w:spacing w:line="306" w:lineRule="atLeast"/>
      <w:jc w:val="left"/>
    </w:pPr>
    <w:rPr>
      <w:rFonts w:ascii="微软雅黑" w:hAnsi="微软雅黑" w:cs="宋体"/>
      <w:color w:val="333333"/>
      <w:kern w:val="0"/>
      <w:sz w:val="18"/>
      <w:szCs w:val="18"/>
    </w:rPr>
  </w:style>
  <w:style w:type="character" w:customStyle="1" w:styleId="76">
    <w:name w:val="样式1 Char"/>
    <w:basedOn w:val="22"/>
    <w:link w:val="75"/>
    <w:qFormat/>
    <w:uiPriority w:val="0"/>
    <w:rPr>
      <w:rFonts w:ascii="微软雅黑" w:hAnsi="微软雅黑" w:cs="宋体"/>
      <w:color w:val="333333"/>
      <w:sz w:val="18"/>
      <w:szCs w:val="18"/>
    </w:rPr>
  </w:style>
  <w:style w:type="paragraph" w:customStyle="1" w:styleId="77">
    <w:name w:val="样式2"/>
    <w:basedOn w:val="1"/>
    <w:link w:val="78"/>
    <w:qFormat/>
    <w:uiPriority w:val="0"/>
    <w:pPr>
      <w:widowControl/>
      <w:spacing w:line="502" w:lineRule="atLeast"/>
      <w:ind w:left="251" w:firstLine="480"/>
      <w:jc w:val="left"/>
    </w:pPr>
    <w:rPr>
      <w:rFonts w:ascii="Arial Unicode MS" w:hAnsi="Arial Unicode MS" w:eastAsia="Arial Unicode MS" w:cs="Arial Unicode MS"/>
      <w:sz w:val="28"/>
      <w:szCs w:val="28"/>
    </w:rPr>
  </w:style>
  <w:style w:type="character" w:customStyle="1" w:styleId="78">
    <w:name w:val="样式2 Char"/>
    <w:basedOn w:val="22"/>
    <w:link w:val="77"/>
    <w:qFormat/>
    <w:uiPriority w:val="0"/>
    <w:rPr>
      <w:rFonts w:ascii="Arial Unicode MS" w:hAnsi="Arial Unicode MS" w:eastAsia="Arial Unicode MS" w:cs="Arial Unicode MS"/>
      <w:color w:val="000000"/>
      <w:kern w:val="2"/>
      <w:sz w:val="28"/>
      <w:szCs w:val="28"/>
    </w:rPr>
  </w:style>
  <w:style w:type="paragraph" w:customStyle="1" w:styleId="79">
    <w:name w:val="明显引用1"/>
    <w:basedOn w:val="1"/>
    <w:next w:val="1"/>
    <w:link w:val="80"/>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80">
    <w:name w:val="明显引用 Char"/>
    <w:basedOn w:val="22"/>
    <w:link w:val="79"/>
    <w:qFormat/>
    <w:uiPriority w:val="30"/>
    <w:rPr>
      <w:rFonts w:ascii="宋体" w:hAnsi="宋体"/>
      <w:b/>
      <w:bCs/>
      <w:i/>
      <w:iCs/>
      <w:color w:val="4F81BD" w:themeColor="accent1"/>
      <w:kern w:val="2"/>
      <w:sz w:val="21"/>
      <w:szCs w:val="21"/>
      <w14:textFill>
        <w14:solidFill>
          <w14:schemeClr w14:val="accent1"/>
        </w14:solidFill>
      </w14:textFill>
    </w:rPr>
  </w:style>
  <w:style w:type="character" w:customStyle="1" w:styleId="81">
    <w:name w:val="rich_media_meta1"/>
    <w:basedOn w:val="22"/>
    <w:qFormat/>
    <w:uiPriority w:val="0"/>
    <w:rPr>
      <w:sz w:val="25"/>
      <w:szCs w:val="25"/>
    </w:rPr>
  </w:style>
  <w:style w:type="character" w:customStyle="1" w:styleId="82">
    <w:name w:val="tt4"/>
    <w:basedOn w:val="22"/>
    <w:qFormat/>
    <w:uiPriority w:val="0"/>
    <w:rPr>
      <w:rFonts w:hint="eastAsia" w:ascii="宋体" w:hAnsi="宋体" w:eastAsia="宋体"/>
    </w:rPr>
  </w:style>
  <w:style w:type="character" w:customStyle="1" w:styleId="83">
    <w:name w:val="gray2"/>
    <w:basedOn w:val="22"/>
    <w:qFormat/>
    <w:uiPriority w:val="0"/>
    <w:rPr>
      <w:color w:val="333333"/>
    </w:rPr>
  </w:style>
  <w:style w:type="character" w:customStyle="1" w:styleId="84">
    <w:name w:val="red4"/>
    <w:basedOn w:val="22"/>
    <w:qFormat/>
    <w:uiPriority w:val="0"/>
    <w:rPr>
      <w:color w:val="FF0000"/>
    </w:rPr>
  </w:style>
  <w:style w:type="character" w:customStyle="1" w:styleId="85">
    <w:name w:val="green2"/>
    <w:basedOn w:val="22"/>
    <w:qFormat/>
    <w:uiPriority w:val="0"/>
    <w:rPr>
      <w:color w:val="009900"/>
    </w:rPr>
  </w:style>
  <w:style w:type="paragraph" w:customStyle="1" w:styleId="86">
    <w:name w:val="tn-powered-by-xiumi"/>
    <w:basedOn w:val="1"/>
    <w:qFormat/>
    <w:uiPriority w:val="0"/>
    <w:pPr>
      <w:widowControl/>
      <w:spacing w:before="100" w:beforeAutospacing="1" w:after="100" w:afterAutospacing="1"/>
      <w:jc w:val="left"/>
    </w:pPr>
    <w:rPr>
      <w:rFonts w:cs="宋体"/>
      <w:color w:val="auto"/>
      <w:kern w:val="0"/>
      <w:sz w:val="24"/>
      <w:szCs w:val="24"/>
    </w:rPr>
  </w:style>
  <w:style w:type="paragraph" w:customStyle="1" w:styleId="87">
    <w:name w:val="pictext"/>
    <w:basedOn w:val="1"/>
    <w:qFormat/>
    <w:uiPriority w:val="0"/>
    <w:pPr>
      <w:widowControl/>
      <w:spacing w:before="100" w:beforeAutospacing="1" w:after="100" w:afterAutospacing="1"/>
      <w:jc w:val="left"/>
    </w:pPr>
    <w:rPr>
      <w:rFonts w:cs="宋体"/>
      <w:color w:val="auto"/>
      <w:kern w:val="0"/>
      <w:sz w:val="24"/>
      <w:szCs w:val="24"/>
    </w:rPr>
  </w:style>
  <w:style w:type="character" w:customStyle="1" w:styleId="88">
    <w:name w:val="px14"/>
    <w:basedOn w:val="22"/>
    <w:qFormat/>
    <w:uiPriority w:val="0"/>
  </w:style>
  <w:style w:type="paragraph" w:customStyle="1" w:styleId="89">
    <w:name w:val="editorn"/>
    <w:basedOn w:val="1"/>
    <w:qFormat/>
    <w:uiPriority w:val="0"/>
    <w:pPr>
      <w:widowControl/>
      <w:spacing w:before="100" w:beforeAutospacing="1" w:after="100" w:afterAutospacing="1"/>
      <w:jc w:val="left"/>
    </w:pPr>
    <w:rPr>
      <w:rFonts w:cs="宋体"/>
      <w:color w:val="auto"/>
      <w:kern w:val="0"/>
      <w:sz w:val="24"/>
      <w:szCs w:val="24"/>
    </w:rPr>
  </w:style>
  <w:style w:type="paragraph" w:customStyle="1" w:styleId="90">
    <w:name w:val="pagebreak1"/>
    <w:basedOn w:val="1"/>
    <w:qFormat/>
    <w:uiPriority w:val="0"/>
    <w:pPr>
      <w:widowControl/>
      <w:spacing w:before="100" w:beforeAutospacing="1" w:after="335" w:line="419" w:lineRule="atLeast"/>
      <w:jc w:val="center"/>
    </w:pPr>
    <w:rPr>
      <w:rFonts w:ascii="Arial" w:hAnsi="Arial" w:cs="Arial"/>
      <w:color w:val="auto"/>
      <w:kern w:val="0"/>
      <w:sz w:val="24"/>
      <w:szCs w:val="24"/>
    </w:rPr>
  </w:style>
  <w:style w:type="character" w:customStyle="1" w:styleId="91">
    <w:name w:val="txt2071"/>
    <w:basedOn w:val="22"/>
    <w:qFormat/>
    <w:uiPriority w:val="0"/>
    <w:rPr>
      <w:b/>
      <w:bCs/>
      <w:color w:val="FF0000"/>
      <w:spacing w:val="0"/>
      <w:sz w:val="30"/>
      <w:szCs w:val="30"/>
    </w:rPr>
  </w:style>
  <w:style w:type="paragraph" w:customStyle="1" w:styleId="92">
    <w:name w:val="profile_meta"/>
    <w:basedOn w:val="1"/>
    <w:qFormat/>
    <w:uiPriority w:val="0"/>
    <w:pPr>
      <w:widowControl/>
      <w:spacing w:before="84" w:after="100" w:afterAutospacing="1"/>
      <w:jc w:val="left"/>
    </w:pPr>
    <w:rPr>
      <w:rFonts w:cs="宋体"/>
      <w:color w:val="auto"/>
      <w:kern w:val="0"/>
      <w:sz w:val="24"/>
      <w:szCs w:val="24"/>
    </w:rPr>
  </w:style>
  <w:style w:type="character" w:customStyle="1" w:styleId="93">
    <w:name w:val="profile_meta_value1"/>
    <w:basedOn w:val="22"/>
    <w:qFormat/>
    <w:uiPriority w:val="0"/>
    <w:rPr>
      <w:color w:val="ADADAD"/>
    </w:rPr>
  </w:style>
  <w:style w:type="character" w:customStyle="1" w:styleId="94">
    <w:name w:val="135brush"/>
    <w:basedOn w:val="22"/>
    <w:qFormat/>
    <w:uiPriority w:val="0"/>
  </w:style>
  <w:style w:type="paragraph" w:customStyle="1" w:styleId="95">
    <w:name w:val="p"/>
    <w:basedOn w:val="1"/>
    <w:qFormat/>
    <w:uiPriority w:val="0"/>
    <w:pPr>
      <w:widowControl/>
      <w:spacing w:before="100" w:beforeAutospacing="1" w:after="100" w:afterAutospacing="1"/>
      <w:jc w:val="left"/>
    </w:pPr>
    <w:rPr>
      <w:rFonts w:cs="宋体"/>
      <w:color w:val="auto"/>
      <w:kern w:val="0"/>
      <w:sz w:val="24"/>
      <w:szCs w:val="24"/>
    </w:rPr>
  </w:style>
  <w:style w:type="character" w:customStyle="1" w:styleId="96">
    <w:name w:val="页眉 Char"/>
    <w:basedOn w:val="22"/>
    <w:link w:val="16"/>
    <w:qFormat/>
    <w:uiPriority w:val="0"/>
    <w:rPr>
      <w:rFonts w:ascii="宋体" w:hAnsi="宋体"/>
      <w:color w:val="000000"/>
      <w:kern w:val="2"/>
      <w:sz w:val="18"/>
      <w:szCs w:val="18"/>
    </w:rPr>
  </w:style>
  <w:style w:type="paragraph" w:customStyle="1" w:styleId="97">
    <w:name w:val="p16"/>
    <w:basedOn w:val="1"/>
    <w:qFormat/>
    <w:uiPriority w:val="0"/>
    <w:pPr>
      <w:widowControl/>
      <w:spacing w:before="100" w:beforeAutospacing="1" w:after="100" w:afterAutospacing="1"/>
      <w:jc w:val="left"/>
    </w:pPr>
    <w:rPr>
      <w:rFonts w:cs="宋体"/>
      <w:color w:val="auto"/>
      <w:kern w:val="0"/>
      <w:sz w:val="24"/>
      <w:szCs w:val="24"/>
    </w:rPr>
  </w:style>
  <w:style w:type="paragraph" w:customStyle="1" w:styleId="98">
    <w:name w:val="修订1"/>
    <w:hidden/>
    <w:unhideWhenUsed/>
    <w:qFormat/>
    <w:uiPriority w:val="99"/>
    <w:pPr>
      <w:spacing w:line="240" w:lineRule="atLeast"/>
      <w:ind w:firstLine="374"/>
    </w:pPr>
    <w:rPr>
      <w:rFonts w:ascii="宋体" w:hAnsi="宋体" w:eastAsia="宋体" w:cs="Times New Roman"/>
      <w:color w:val="000000"/>
      <w:kern w:val="2"/>
      <w:sz w:val="21"/>
      <w:szCs w:val="21"/>
      <w:lang w:val="en-US" w:eastAsia="zh-CN" w:bidi="ar-SA"/>
    </w:rPr>
  </w:style>
  <w:style w:type="character" w:customStyle="1" w:styleId="99">
    <w:name w:val="批注文字 Char"/>
    <w:basedOn w:val="22"/>
    <w:link w:val="9"/>
    <w:qFormat/>
    <w:uiPriority w:val="0"/>
    <w:rPr>
      <w:rFonts w:ascii="宋体" w:hAnsi="宋体"/>
      <w:color w:val="000000"/>
      <w:kern w:val="2"/>
      <w:sz w:val="21"/>
      <w:szCs w:val="21"/>
    </w:rPr>
  </w:style>
  <w:style w:type="character" w:customStyle="1" w:styleId="100">
    <w:name w:val="批注主题 Char"/>
    <w:basedOn w:val="99"/>
    <w:link w:val="8"/>
    <w:qFormat/>
    <w:uiPriority w:val="0"/>
    <w:rPr>
      <w:b/>
      <w:bCs/>
    </w:rPr>
  </w:style>
  <w:style w:type="paragraph" w:customStyle="1" w:styleId="101">
    <w:name w:val="detailpic"/>
    <w:basedOn w:val="1"/>
    <w:qFormat/>
    <w:uiPriority w:val="0"/>
    <w:pPr>
      <w:widowControl/>
      <w:spacing w:before="100" w:beforeAutospacing="1" w:after="100" w:afterAutospacing="1"/>
      <w:jc w:val="left"/>
    </w:pPr>
    <w:rPr>
      <w:rFonts w:cs="宋体"/>
      <w:color w:val="auto"/>
      <w:kern w:val="0"/>
      <w:sz w:val="24"/>
      <w:szCs w:val="24"/>
    </w:rPr>
  </w:style>
  <w:style w:type="paragraph" w:styleId="102">
    <w:name w:val="List Paragraph"/>
    <w:basedOn w:val="1"/>
    <w:unhideWhenUsed/>
    <w:qFormat/>
    <w:uiPriority w:val="99"/>
    <w:pPr>
      <w:ind w:firstLine="420" w:firstLineChars="200"/>
    </w:pPr>
  </w:style>
  <w:style w:type="paragraph" w:customStyle="1" w:styleId="103">
    <w:name w:val="title03"/>
    <w:basedOn w:val="1"/>
    <w:qFormat/>
    <w:uiPriority w:val="0"/>
    <w:pPr>
      <w:widowControl/>
      <w:spacing w:before="100" w:beforeAutospacing="1" w:after="100" w:afterAutospacing="1" w:line="240" w:lineRule="auto"/>
      <w:ind w:firstLine="0"/>
      <w:jc w:val="left"/>
    </w:pPr>
    <w:rPr>
      <w:rFonts w:cs="宋体"/>
      <w:color w:val="auto"/>
      <w:kern w:val="0"/>
      <w:sz w:val="24"/>
      <w:szCs w:val="24"/>
    </w:rPr>
  </w:style>
  <w:style w:type="paragraph" w:customStyle="1" w:styleId="104">
    <w:name w:val="p0"/>
    <w:basedOn w:val="1"/>
    <w:qFormat/>
    <w:uiPriority w:val="0"/>
    <w:pPr>
      <w:widowControl/>
      <w:spacing w:before="100" w:beforeAutospacing="1" w:after="100" w:afterAutospacing="1" w:line="240" w:lineRule="auto"/>
      <w:ind w:firstLine="0"/>
      <w:jc w:val="left"/>
    </w:pPr>
    <w:rPr>
      <w:rFonts w:cs="宋体"/>
      <w:color w:val="auto"/>
      <w:kern w:val="0"/>
      <w:sz w:val="24"/>
      <w:szCs w:val="24"/>
    </w:rPr>
  </w:style>
  <w:style w:type="paragraph" w:customStyle="1" w:styleId="105">
    <w:name w:val="intro"/>
    <w:basedOn w:val="1"/>
    <w:qFormat/>
    <w:uiPriority w:val="0"/>
    <w:pPr>
      <w:widowControl/>
      <w:spacing w:before="100" w:beforeAutospacing="1" w:after="100" w:afterAutospacing="1" w:line="240" w:lineRule="auto"/>
      <w:ind w:firstLine="0"/>
      <w:jc w:val="left"/>
    </w:pPr>
    <w:rPr>
      <w:rFonts w:cs="宋体"/>
      <w:color w:val="auto"/>
      <w:kern w:val="0"/>
      <w:sz w:val="24"/>
      <w:szCs w:val="24"/>
    </w:rPr>
  </w:style>
  <w:style w:type="paragraph" w:customStyle="1" w:styleId="106">
    <w:name w:val="txt-img"/>
    <w:basedOn w:val="1"/>
    <w:qFormat/>
    <w:uiPriority w:val="0"/>
    <w:pPr>
      <w:widowControl/>
      <w:spacing w:before="100" w:beforeAutospacing="1" w:after="100" w:afterAutospacing="1" w:line="240" w:lineRule="auto"/>
      <w:ind w:firstLine="0"/>
      <w:jc w:val="left"/>
    </w:pPr>
    <w:rPr>
      <w:rFonts w:cs="宋体"/>
      <w:color w:val="auto"/>
      <w:kern w:val="0"/>
      <w:sz w:val="24"/>
      <w:szCs w:val="24"/>
    </w:rPr>
  </w:style>
  <w:style w:type="paragraph" w:customStyle="1" w:styleId="107">
    <w:name w:val="pcenter"/>
    <w:basedOn w:val="1"/>
    <w:qFormat/>
    <w:uiPriority w:val="0"/>
    <w:pPr>
      <w:widowControl/>
      <w:spacing w:before="100" w:beforeAutospacing="1" w:after="100" w:afterAutospacing="1" w:line="240" w:lineRule="auto"/>
      <w:ind w:firstLine="0"/>
      <w:jc w:val="left"/>
    </w:pPr>
    <w:rPr>
      <w:rFonts w:cs="宋体"/>
      <w:color w:val="auto"/>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bmp"/><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E:\&#24037;&#20316;\&#20135;&#19994;&#24555;&#35759;\2015&#24180;&#20135;&#19994;&#24555;&#35759;\&#36719;&#20214;&#19982;&#20449;&#24687;&#23433;&#20840;&#20135;&#19994;&#24555;&#35759;2015&#24180;&#31532;&#20108;&#2639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B4EF74-63A1-44FB-8B7A-A2685C2BA4C2}">
  <ds:schemaRefs/>
</ds:datastoreItem>
</file>

<file path=docProps/app.xml><?xml version="1.0" encoding="utf-8"?>
<Properties xmlns="http://schemas.openxmlformats.org/officeDocument/2006/extended-properties" xmlns:vt="http://schemas.openxmlformats.org/officeDocument/2006/docPropsVTypes">
  <Template>软件与信息安全产业快讯2015年第二期</Template>
  <Company>Microsoft</Company>
  <Pages>70</Pages>
  <Words>4962</Words>
  <Characters>28284</Characters>
  <Lines>235</Lines>
  <Paragraphs>66</Paragraphs>
  <ScaleCrop>false</ScaleCrop>
  <LinksUpToDate>false</LinksUpToDate>
  <CharactersWithSpaces>33180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2018-04-24T03:17:00Z</dcterms:created>
  <dc:creator>dbc</dc:creator>
  <cp:lastModifiedBy>Administrator</cp:lastModifiedBy>
  <cp:lastPrinted>2018-03-28T03:09:00Z</cp:lastPrinted>
  <dcterms:modified xsi:type="dcterms:W3CDTF">2018-05-14T08:12:10Z</dcterms:modified>
  <dc:title>&lt;&lt;软件与信息安全产业快讯&gt;&gt;</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Edge 011</vt:lpwstr>
  </property>
  <property fmtid="{D5CDD505-2E9C-101B-9397-08002B2CF9AE}" pid="3" name="KSOProductBuildVer">
    <vt:lpwstr>2052-10.1.0.7245</vt:lpwstr>
  </property>
</Properties>
</file>